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74D" w:rsidRPr="0094374D" w:rsidRDefault="0094374D" w:rsidP="0094374D">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94374D">
        <w:rPr>
          <w:rFonts w:ascii="Arial" w:eastAsia="Times New Roman" w:hAnsi="Arial" w:cs="Arial"/>
          <w:b/>
          <w:bCs/>
          <w:color w:val="323232"/>
          <w:sz w:val="30"/>
          <w:szCs w:val="30"/>
          <w:lang w:eastAsia="tr-TR"/>
        </w:rPr>
        <w:t>Bireysel Başvuru Yoluyla Hükümlü ve Tutuklu Haklarının Korunması </w:t>
      </w:r>
      <w:bookmarkStart w:id="0" w:name="_ftnref0"/>
      <w:r w:rsidRPr="0094374D">
        <w:rPr>
          <w:rFonts w:ascii="Arial" w:eastAsia="Times New Roman" w:hAnsi="Arial" w:cs="Arial"/>
          <w:b/>
          <w:bCs/>
          <w:color w:val="323232"/>
          <w:sz w:val="30"/>
          <w:szCs w:val="30"/>
          <w:lang w:eastAsia="tr-TR"/>
        </w:rPr>
        <w:fldChar w:fldCharType="begin"/>
      </w:r>
      <w:r w:rsidRPr="0094374D">
        <w:rPr>
          <w:rFonts w:ascii="Arial" w:eastAsia="Times New Roman" w:hAnsi="Arial" w:cs="Arial"/>
          <w:b/>
          <w:bCs/>
          <w:color w:val="323232"/>
          <w:sz w:val="30"/>
          <w:szCs w:val="30"/>
          <w:lang w:eastAsia="tr-TR"/>
        </w:rPr>
        <w:instrText xml:space="preserve"> HYPERLINK "https://www.anayasa.gov.tr/tr/baskan/konusmalar/bireysel-basvuru-yoluyla-hukumlu-ve-tutuklu-haklarinin-korunmasi/" \l "_ftn0" </w:instrText>
      </w:r>
      <w:r w:rsidRPr="0094374D">
        <w:rPr>
          <w:rFonts w:ascii="Arial" w:eastAsia="Times New Roman" w:hAnsi="Arial" w:cs="Arial"/>
          <w:b/>
          <w:bCs/>
          <w:color w:val="323232"/>
          <w:sz w:val="30"/>
          <w:szCs w:val="30"/>
          <w:lang w:eastAsia="tr-TR"/>
        </w:rPr>
        <w:fldChar w:fldCharType="separate"/>
      </w:r>
      <w:r w:rsidRPr="0094374D">
        <w:rPr>
          <w:rFonts w:ascii="Arial" w:eastAsia="Times New Roman" w:hAnsi="Arial" w:cs="Arial"/>
          <w:b/>
          <w:bCs/>
          <w:color w:val="000000"/>
          <w:sz w:val="30"/>
          <w:szCs w:val="30"/>
          <w:lang w:eastAsia="tr-TR"/>
        </w:rPr>
        <w:t>*</w:t>
      </w:r>
      <w:r w:rsidRPr="0094374D">
        <w:rPr>
          <w:rFonts w:ascii="Arial" w:eastAsia="Times New Roman" w:hAnsi="Arial" w:cs="Arial"/>
          <w:b/>
          <w:bCs/>
          <w:color w:val="323232"/>
          <w:sz w:val="30"/>
          <w:szCs w:val="30"/>
          <w:lang w:eastAsia="tr-TR"/>
        </w:rPr>
        <w:fldChar w:fldCharType="end"/>
      </w:r>
      <w:bookmarkEnd w:id="0"/>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b/>
          <w:bCs/>
          <w:color w:val="323232"/>
          <w:sz w:val="21"/>
          <w:szCs w:val="21"/>
          <w:lang w:eastAsia="tr-TR"/>
        </w:rPr>
        <w:t>Değerli Konuklar,</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b/>
          <w:bCs/>
          <w:color w:val="323232"/>
          <w:sz w:val="21"/>
          <w:szCs w:val="21"/>
          <w:lang w:eastAsia="tr-TR"/>
        </w:rPr>
        <w:t>Saygıdeğer Katılımcılar,</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Sizleri en içten duygularımla, saygıyla selamlıyorum.</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Türkiye İnsan Hakları ve Eşitlik Kurumu (TİHEK) tarafından düzenlenen bu sempozyumun başarılı ve verimli geçmesini temenni ediyorum. Ayrıca böylesine önemli bir konuyu gündeme taşıyan TİHEK Başkanı’nı ve emeği geçen herkesi tebrik ediyor, tüm katılımcılara da katkılarından dolayı teşekkür ediyorum.</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 xml:space="preserve">Paris’in </w:t>
      </w:r>
      <w:proofErr w:type="spellStart"/>
      <w:r w:rsidRPr="0094374D">
        <w:rPr>
          <w:rFonts w:ascii="Arial" w:eastAsia="Times New Roman" w:hAnsi="Arial" w:cs="Arial"/>
          <w:color w:val="323232"/>
          <w:sz w:val="21"/>
          <w:szCs w:val="21"/>
          <w:lang w:eastAsia="tr-TR"/>
        </w:rPr>
        <w:t>Grève</w:t>
      </w:r>
      <w:proofErr w:type="spellEnd"/>
      <w:r w:rsidRPr="0094374D">
        <w:rPr>
          <w:rFonts w:ascii="Arial" w:eastAsia="Times New Roman" w:hAnsi="Arial" w:cs="Arial"/>
          <w:color w:val="323232"/>
          <w:sz w:val="21"/>
          <w:szCs w:val="21"/>
          <w:lang w:eastAsia="tr-TR"/>
        </w:rPr>
        <w:t xml:space="preserve"> Meydanı’nda 2 Mart 1757 günü bir infaz gerçekleşir. Kralı bıçakla yaralayan </w:t>
      </w:r>
      <w:proofErr w:type="spellStart"/>
      <w:r w:rsidRPr="0094374D">
        <w:rPr>
          <w:rFonts w:ascii="Arial" w:eastAsia="Times New Roman" w:hAnsi="Arial" w:cs="Arial"/>
          <w:color w:val="323232"/>
          <w:sz w:val="21"/>
          <w:szCs w:val="21"/>
          <w:lang w:eastAsia="tr-TR"/>
        </w:rPr>
        <w:t>Damiens’in</w:t>
      </w:r>
      <w:proofErr w:type="spellEnd"/>
      <w:r w:rsidRPr="0094374D">
        <w:rPr>
          <w:rFonts w:ascii="Arial" w:eastAsia="Times New Roman" w:hAnsi="Arial" w:cs="Arial"/>
          <w:color w:val="323232"/>
          <w:sz w:val="21"/>
          <w:szCs w:val="21"/>
          <w:lang w:eastAsia="tr-TR"/>
        </w:rPr>
        <w:t xml:space="preserve"> önce vücudunun muhtelif yerleri kızgın kerpetenle çekilir, çekilen yerlere erimiş kurşun, kaynar yağ, kaynar reçine ve birlikte eritilen bal mumu ile kükürt dökülür. Ardından bedeni dört ata çektirilerek parçalatılır, ateşte yakılır ve külleri rüzgârda savrulur.</w:t>
      </w:r>
      <w:r w:rsidR="00807B75">
        <w:rPr>
          <w:rStyle w:val="DipnotBavurusu"/>
          <w:rFonts w:ascii="Arial" w:eastAsia="Times New Roman" w:hAnsi="Arial" w:cs="Arial"/>
          <w:color w:val="323232"/>
          <w:sz w:val="21"/>
          <w:szCs w:val="21"/>
          <w:lang w:eastAsia="tr-TR"/>
        </w:rPr>
        <w:footnoteReference w:id="1"/>
      </w:r>
      <w:r w:rsidR="00807B75" w:rsidRPr="0094374D">
        <w:rPr>
          <w:rFonts w:ascii="Arial" w:eastAsia="Times New Roman" w:hAnsi="Arial" w:cs="Arial"/>
          <w:color w:val="323232"/>
          <w:sz w:val="21"/>
          <w:szCs w:val="21"/>
          <w:lang w:eastAsia="tr-TR"/>
        </w:rPr>
        <w:t xml:space="preserve"> </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 xml:space="preserve">Bu yaşanmış ceza infaz sahnesi </w:t>
      </w:r>
      <w:proofErr w:type="spellStart"/>
      <w:r w:rsidRPr="0094374D">
        <w:rPr>
          <w:rFonts w:ascii="Arial" w:eastAsia="Times New Roman" w:hAnsi="Arial" w:cs="Arial"/>
          <w:color w:val="323232"/>
          <w:sz w:val="21"/>
          <w:szCs w:val="21"/>
          <w:lang w:eastAsia="tr-TR"/>
        </w:rPr>
        <w:t>Michel</w:t>
      </w:r>
      <w:proofErr w:type="spellEnd"/>
      <w:r w:rsidRPr="0094374D">
        <w:rPr>
          <w:rFonts w:ascii="Arial" w:eastAsia="Times New Roman" w:hAnsi="Arial" w:cs="Arial"/>
          <w:color w:val="323232"/>
          <w:sz w:val="21"/>
          <w:szCs w:val="21"/>
          <w:lang w:eastAsia="tr-TR"/>
        </w:rPr>
        <w:t xml:space="preserve"> </w:t>
      </w:r>
      <w:proofErr w:type="spellStart"/>
      <w:r w:rsidRPr="0094374D">
        <w:rPr>
          <w:rFonts w:ascii="Arial" w:eastAsia="Times New Roman" w:hAnsi="Arial" w:cs="Arial"/>
          <w:color w:val="323232"/>
          <w:sz w:val="21"/>
          <w:szCs w:val="21"/>
          <w:lang w:eastAsia="tr-TR"/>
        </w:rPr>
        <w:t>Foucault’nun</w:t>
      </w:r>
      <w:proofErr w:type="spellEnd"/>
      <w:r w:rsidRPr="0094374D">
        <w:rPr>
          <w:rFonts w:ascii="Arial" w:eastAsia="Times New Roman" w:hAnsi="Arial" w:cs="Arial"/>
          <w:color w:val="323232"/>
          <w:sz w:val="21"/>
          <w:szCs w:val="21"/>
          <w:lang w:eastAsia="tr-TR"/>
        </w:rPr>
        <w:t xml:space="preserve"> dilimize “</w:t>
      </w:r>
      <w:r w:rsidRPr="0094374D">
        <w:rPr>
          <w:rFonts w:ascii="Arial" w:eastAsia="Times New Roman" w:hAnsi="Arial" w:cs="Arial"/>
          <w:i/>
          <w:iCs/>
          <w:color w:val="323232"/>
          <w:sz w:val="21"/>
          <w:szCs w:val="21"/>
          <w:lang w:eastAsia="tr-TR"/>
        </w:rPr>
        <w:t>Hapishanenin Doğuşu”</w:t>
      </w:r>
      <w:r w:rsidRPr="0094374D">
        <w:rPr>
          <w:rFonts w:ascii="Arial" w:eastAsia="Times New Roman" w:hAnsi="Arial" w:cs="Arial"/>
          <w:color w:val="323232"/>
          <w:sz w:val="21"/>
          <w:szCs w:val="21"/>
          <w:lang w:eastAsia="tr-TR"/>
        </w:rPr>
        <w:t xml:space="preserve"> olarak çevrilen kitabının ilk sayfasında yer almaktadır. </w:t>
      </w:r>
      <w:proofErr w:type="spellStart"/>
      <w:r w:rsidRPr="0094374D">
        <w:rPr>
          <w:rFonts w:ascii="Arial" w:eastAsia="Times New Roman" w:hAnsi="Arial" w:cs="Arial"/>
          <w:color w:val="323232"/>
          <w:sz w:val="21"/>
          <w:szCs w:val="21"/>
          <w:lang w:eastAsia="tr-TR"/>
        </w:rPr>
        <w:t>Foucault</w:t>
      </w:r>
      <w:proofErr w:type="spellEnd"/>
      <w:r w:rsidRPr="0094374D">
        <w:rPr>
          <w:rFonts w:ascii="Arial" w:eastAsia="Times New Roman" w:hAnsi="Arial" w:cs="Arial"/>
          <w:color w:val="323232"/>
          <w:sz w:val="21"/>
          <w:szCs w:val="21"/>
          <w:lang w:eastAsia="tr-TR"/>
        </w:rPr>
        <w:t xml:space="preserve">, Avrupa’da suçluyu teşhir ederek ve azap çektirerek öldürmekten hapishaneye kapatmaya uzanan cezalandırma sürecini çok iyi anlatır. </w:t>
      </w:r>
      <w:proofErr w:type="spellStart"/>
      <w:r w:rsidRPr="0094374D">
        <w:rPr>
          <w:rFonts w:ascii="Arial" w:eastAsia="Times New Roman" w:hAnsi="Arial" w:cs="Arial"/>
          <w:color w:val="323232"/>
          <w:sz w:val="21"/>
          <w:szCs w:val="21"/>
          <w:lang w:eastAsia="tr-TR"/>
        </w:rPr>
        <w:t>Foucault’ya</w:t>
      </w:r>
      <w:proofErr w:type="spellEnd"/>
      <w:r w:rsidRPr="0094374D">
        <w:rPr>
          <w:rFonts w:ascii="Arial" w:eastAsia="Times New Roman" w:hAnsi="Arial" w:cs="Arial"/>
          <w:color w:val="323232"/>
          <w:sz w:val="21"/>
          <w:szCs w:val="21"/>
          <w:lang w:eastAsia="tr-TR"/>
        </w:rPr>
        <w:t xml:space="preserve"> göre cezalandırma bedenden ruha yönelmiştir. Bu da önemli ölçüde kişinin hürriyetinden mahrum bırakılmasıyla gerçekleşmiştir.</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proofErr w:type="spellStart"/>
      <w:r w:rsidRPr="0094374D">
        <w:rPr>
          <w:rFonts w:ascii="Arial" w:eastAsia="Times New Roman" w:hAnsi="Arial" w:cs="Arial"/>
          <w:color w:val="323232"/>
          <w:sz w:val="21"/>
          <w:szCs w:val="21"/>
          <w:lang w:eastAsia="tr-TR"/>
        </w:rPr>
        <w:t>Foucault</w:t>
      </w:r>
      <w:proofErr w:type="spellEnd"/>
      <w:r w:rsidRPr="0094374D">
        <w:rPr>
          <w:rFonts w:ascii="Arial" w:eastAsia="Times New Roman" w:hAnsi="Arial" w:cs="Arial"/>
          <w:color w:val="323232"/>
          <w:sz w:val="21"/>
          <w:szCs w:val="21"/>
          <w:lang w:eastAsia="tr-TR"/>
        </w:rPr>
        <w:t>, “</w:t>
      </w:r>
      <w:r w:rsidRPr="0094374D">
        <w:rPr>
          <w:rFonts w:ascii="Arial" w:eastAsia="Times New Roman" w:hAnsi="Arial" w:cs="Arial"/>
          <w:i/>
          <w:iCs/>
          <w:color w:val="323232"/>
          <w:sz w:val="21"/>
          <w:szCs w:val="21"/>
          <w:lang w:eastAsia="tr-TR"/>
        </w:rPr>
        <w:t>Cezai hapsetme, XIX. yüzyıldaki başlangıcından itibaren hem özgürlükten yoksun bırakmayı hem de bireylerin teknik olarak dönüştürülmelerini kapsamıştır.</w:t>
      </w:r>
      <w:r w:rsidRPr="0094374D">
        <w:rPr>
          <w:rFonts w:ascii="Arial" w:eastAsia="Times New Roman" w:hAnsi="Arial" w:cs="Arial"/>
          <w:color w:val="323232"/>
          <w:sz w:val="21"/>
          <w:szCs w:val="21"/>
          <w:lang w:eastAsia="tr-TR"/>
        </w:rPr>
        <w:t>” demek suretiyle modern hapishane sisteminin cezalandırma ve ıslah işlevine dikkat çekmiştir.</w:t>
      </w:r>
      <w:r w:rsidR="00807B75">
        <w:rPr>
          <w:rStyle w:val="DipnotBavurusu"/>
          <w:rFonts w:ascii="Arial" w:eastAsia="Times New Roman" w:hAnsi="Arial" w:cs="Arial"/>
          <w:color w:val="323232"/>
          <w:sz w:val="21"/>
          <w:szCs w:val="21"/>
          <w:lang w:eastAsia="tr-TR"/>
        </w:rPr>
        <w:footnoteReference w:id="2"/>
      </w:r>
      <w:r w:rsidRPr="0094374D">
        <w:rPr>
          <w:rFonts w:ascii="Arial" w:eastAsia="Times New Roman" w:hAnsi="Arial" w:cs="Arial"/>
          <w:color w:val="323232"/>
          <w:sz w:val="21"/>
          <w:szCs w:val="21"/>
          <w:lang w:eastAsia="tr-TR"/>
        </w:rPr>
        <w:t> Tam da bu nedenle “</w:t>
      </w:r>
      <w:r w:rsidRPr="0094374D">
        <w:rPr>
          <w:rFonts w:ascii="Arial" w:eastAsia="Times New Roman" w:hAnsi="Arial" w:cs="Arial"/>
          <w:i/>
          <w:iCs/>
          <w:color w:val="323232"/>
          <w:sz w:val="21"/>
          <w:szCs w:val="21"/>
          <w:lang w:eastAsia="tr-TR"/>
        </w:rPr>
        <w:t>hapishane</w:t>
      </w:r>
      <w:r w:rsidRPr="0094374D">
        <w:rPr>
          <w:rFonts w:ascii="Arial" w:eastAsia="Times New Roman" w:hAnsi="Arial" w:cs="Arial"/>
          <w:color w:val="323232"/>
          <w:sz w:val="21"/>
          <w:szCs w:val="21"/>
          <w:lang w:eastAsia="tr-TR"/>
        </w:rPr>
        <w:t>” kelimesinin kurumun çifte işlevini ifade etmek bakımından “</w:t>
      </w:r>
      <w:r w:rsidRPr="0094374D">
        <w:rPr>
          <w:rFonts w:ascii="Arial" w:eastAsia="Times New Roman" w:hAnsi="Arial" w:cs="Arial"/>
          <w:i/>
          <w:iCs/>
          <w:color w:val="323232"/>
          <w:sz w:val="21"/>
          <w:szCs w:val="21"/>
          <w:lang w:eastAsia="tr-TR"/>
        </w:rPr>
        <w:t>cezaevi</w:t>
      </w:r>
      <w:r w:rsidRPr="0094374D">
        <w:rPr>
          <w:rFonts w:ascii="Arial" w:eastAsia="Times New Roman" w:hAnsi="Arial" w:cs="Arial"/>
          <w:color w:val="323232"/>
          <w:sz w:val="21"/>
          <w:szCs w:val="21"/>
          <w:lang w:eastAsia="tr-TR"/>
        </w:rPr>
        <w:t>” kelimesinden daha elverişli olduğunu düşünüyorum.</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b/>
          <w:bCs/>
          <w:color w:val="323232"/>
          <w:sz w:val="21"/>
          <w:szCs w:val="21"/>
          <w:lang w:eastAsia="tr-TR"/>
        </w:rPr>
        <w:t>Değerli Katılımcılar,</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Hapishanenin bu iki temel işlevindeki gelişmeler insan haklarının hapishanenin kapısında sona ermediği yönündeki anlayışın hâkim olmasını beraberinde getirmiştir. Nitekim Anayasa Mahkemesine yapılan bireysel başvuruların hatırı sayılır bir kısmı cezaevlerinden gelmektedir.</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lastRenderedPageBreak/>
        <w:t>Anayasa Mahkemesi kararlarında hükümlü ve tutukluların Anayasa'da korunan temel hak ve hürriyetlerin tamamına kural olarak sahip oldukları belirtilmiştir.</w:t>
      </w:r>
      <w:r w:rsidR="00807B75">
        <w:rPr>
          <w:rStyle w:val="DipnotBavurusu"/>
          <w:rFonts w:ascii="Arial" w:eastAsia="Times New Roman" w:hAnsi="Arial" w:cs="Arial"/>
          <w:color w:val="323232"/>
          <w:sz w:val="21"/>
          <w:szCs w:val="21"/>
          <w:lang w:eastAsia="tr-TR"/>
        </w:rPr>
        <w:footnoteReference w:id="3"/>
      </w:r>
      <w:r w:rsidRPr="0094374D">
        <w:rPr>
          <w:rFonts w:ascii="Arial" w:eastAsia="Times New Roman" w:hAnsi="Arial" w:cs="Arial"/>
          <w:color w:val="323232"/>
          <w:sz w:val="21"/>
          <w:szCs w:val="21"/>
          <w:lang w:eastAsia="tr-TR"/>
        </w:rPr>
        <w:t> Bununla birlikte kişinin hürriyetinden mahrum bırakılmasının doğal sonucu olarak ortaya çıkan durumlar ile cezaevlerinde kamu düzeni ve disiplinin sağlanması ihtiyacı bu hakların sınırlandırılmasını gerektirebilmektedir.</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Bu noktada öncelikle belirtmek gerekir ki Anayasa Mahkemesi infaz hâkimliğine şikâyet yolunu bireysel başvurudan önce tüketilmesi gereken etkili bir yol olarak kabul etmiştir. Bu nedenle ceza infaz kurumu idaresinin temel hak ve özgürlüklere müdahale teşkil eden işlem ve eylemlerine karşı, kural olarak öncelikle infaz hâkimliğine başvurulmalıdır.</w:t>
      </w:r>
      <w:r w:rsidR="00807B75">
        <w:rPr>
          <w:rStyle w:val="DipnotBavurusu"/>
          <w:rFonts w:ascii="Arial" w:eastAsia="Times New Roman" w:hAnsi="Arial" w:cs="Arial"/>
          <w:color w:val="323232"/>
          <w:sz w:val="21"/>
          <w:szCs w:val="21"/>
          <w:lang w:eastAsia="tr-TR"/>
        </w:rPr>
        <w:footnoteReference w:id="4"/>
      </w:r>
      <w:r w:rsidR="00807B75" w:rsidRPr="0094374D">
        <w:rPr>
          <w:rFonts w:ascii="Arial" w:eastAsia="Times New Roman" w:hAnsi="Arial" w:cs="Arial"/>
          <w:color w:val="323232"/>
          <w:sz w:val="21"/>
          <w:szCs w:val="21"/>
          <w:lang w:eastAsia="tr-TR"/>
        </w:rPr>
        <w:t xml:space="preserve"> </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Anayasa Mahkemesine cezaevlerinden yapılan bireysel başvuruların konuları da çeşitlilik arz etmektedir. Tutma şartları bağlamında kötü muamele yasağından özel hayata saygı hakkına, adil yargılanma hakkından ifade özgürlüğüne kadar birçok alanda hak ihlali şikâyetleri yapılmaktadır.</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Söz gelimi Anayasa’nın 17. maddesi cezaevinde tutulan bir hükümlü veya tutuklunun içinde bulunduğu şartların insan onuruna yakışır bir şekilde olmasını da güvenceye almaktadır. Nitekim 5275 sayılı Ceza ve Güvenlik Tedbirlerinin İnfazı Hakkında Kanun'un 6. maddesine göre "</w:t>
      </w:r>
      <w:r w:rsidRPr="0094374D">
        <w:rPr>
          <w:rFonts w:ascii="Arial" w:eastAsia="Times New Roman" w:hAnsi="Arial" w:cs="Arial"/>
          <w:i/>
          <w:iCs/>
          <w:color w:val="323232"/>
          <w:sz w:val="21"/>
          <w:szCs w:val="21"/>
          <w:lang w:eastAsia="tr-TR"/>
        </w:rPr>
        <w:t>Hürriyeti bağlayıcı cezanın zorunlu kıldığı hürriyetten yoksunluk, insan onuruna saygının korunmasını sağlayan maddî ve manevî koşullar altında çektirilir.</w:t>
      </w:r>
      <w:r w:rsidRPr="0094374D">
        <w:rPr>
          <w:rFonts w:ascii="Arial" w:eastAsia="Times New Roman" w:hAnsi="Arial" w:cs="Arial"/>
          <w:color w:val="323232"/>
          <w:sz w:val="21"/>
          <w:szCs w:val="21"/>
          <w:lang w:eastAsia="tr-TR"/>
        </w:rPr>
        <w:t>"</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Bu düzenlemeyle uyumlu olarak Anayasa Mahkemesi, infaz sürecinde benimsenen yöntem ve davranışların özgürlükten mahrum bırakmanın doğal sonucu olan kaçınılmaz elem seviyesinin ötesinde bir sıkıntı veya eziyete sebep olmaması gerektiğini vurgulamıştır. Bu bağlamda insan onuruna uygun şartlar, özellikle sağlık imkanlarının ve gerekli tıbbi yardımın sağlanmasını gerektirmektedir.</w:t>
      </w:r>
      <w:r w:rsidR="00807B75">
        <w:rPr>
          <w:rStyle w:val="DipnotBavurusu"/>
          <w:rFonts w:ascii="Arial" w:eastAsia="Times New Roman" w:hAnsi="Arial" w:cs="Arial"/>
          <w:color w:val="323232"/>
          <w:sz w:val="21"/>
          <w:szCs w:val="21"/>
          <w:lang w:eastAsia="tr-TR"/>
        </w:rPr>
        <w:footnoteReference w:id="5"/>
      </w:r>
      <w:r w:rsidR="00807B75" w:rsidRPr="0094374D">
        <w:rPr>
          <w:rFonts w:ascii="Arial" w:eastAsia="Times New Roman" w:hAnsi="Arial" w:cs="Arial"/>
          <w:color w:val="323232"/>
          <w:sz w:val="21"/>
          <w:szCs w:val="21"/>
          <w:lang w:eastAsia="tr-TR"/>
        </w:rPr>
        <w:t xml:space="preserve"> </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Aynı şekilde hükümlü veya tutukluların duruşma salonunda bizzat bulunması adil yargılanma hakkının sağladığı bir güvencedir. Anayasa Mahkemesine göre bu hak ancak olayın şartlarının </w:t>
      </w:r>
      <w:r w:rsidRPr="0094374D">
        <w:rPr>
          <w:rFonts w:ascii="Arial" w:eastAsia="Times New Roman" w:hAnsi="Arial" w:cs="Arial"/>
          <w:i/>
          <w:iCs/>
          <w:color w:val="323232"/>
          <w:sz w:val="21"/>
          <w:szCs w:val="21"/>
          <w:lang w:eastAsia="tr-TR"/>
        </w:rPr>
        <w:t>zorunlu kıldığı </w:t>
      </w:r>
      <w:r w:rsidRPr="0094374D">
        <w:rPr>
          <w:rFonts w:ascii="Arial" w:eastAsia="Times New Roman" w:hAnsi="Arial" w:cs="Arial"/>
          <w:color w:val="323232"/>
          <w:sz w:val="21"/>
          <w:szCs w:val="21"/>
          <w:lang w:eastAsia="tr-TR"/>
        </w:rPr>
        <w:t>durumlarda sınırlanabilir. Bu durum hükümlü ve tutukluların şikâyetlerini inceleyen infaz hâkimliklerince yapılan yargılamalar için de geçerlidir.</w:t>
      </w:r>
      <w:r w:rsidR="00807B75">
        <w:rPr>
          <w:rStyle w:val="DipnotBavurusu"/>
          <w:rFonts w:ascii="Arial" w:eastAsia="Times New Roman" w:hAnsi="Arial" w:cs="Arial"/>
          <w:color w:val="323232"/>
          <w:sz w:val="21"/>
          <w:szCs w:val="21"/>
          <w:lang w:eastAsia="tr-TR"/>
        </w:rPr>
        <w:footnoteReference w:id="6"/>
      </w:r>
      <w:r w:rsidR="00807B75" w:rsidRPr="0094374D">
        <w:rPr>
          <w:rFonts w:ascii="Arial" w:eastAsia="Times New Roman" w:hAnsi="Arial" w:cs="Arial"/>
          <w:color w:val="323232"/>
          <w:sz w:val="21"/>
          <w:szCs w:val="21"/>
          <w:lang w:eastAsia="tr-TR"/>
        </w:rPr>
        <w:t xml:space="preserve"> </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 xml:space="preserve">Diğer yandan Anayasa Mahkemesi birçok kararında hükümlü ve tutukluların ifade özgürlüğünün de Anayasa’nın 26. maddesinin güvencesi altında olduğunu vurgulamıştır. Anayasa Mahkemesi, </w:t>
      </w:r>
      <w:r w:rsidRPr="0094374D">
        <w:rPr>
          <w:rFonts w:ascii="Arial" w:eastAsia="Times New Roman" w:hAnsi="Arial" w:cs="Arial"/>
          <w:color w:val="323232"/>
          <w:sz w:val="21"/>
          <w:szCs w:val="21"/>
          <w:lang w:eastAsia="tr-TR"/>
        </w:rPr>
        <w:lastRenderedPageBreak/>
        <w:t>hükümlü ve tutukluların örneğin süreli veya süresiz yayınlara ulaşabilmesinin ifade özgürlüğünün koruması altında bulunduğuna karar vermiştir.</w:t>
      </w:r>
      <w:r w:rsidR="00807B75">
        <w:rPr>
          <w:rStyle w:val="DipnotBavurusu"/>
          <w:rFonts w:ascii="Arial" w:eastAsia="Times New Roman" w:hAnsi="Arial" w:cs="Arial"/>
          <w:color w:val="323232"/>
          <w:sz w:val="21"/>
          <w:szCs w:val="21"/>
          <w:lang w:eastAsia="tr-TR"/>
        </w:rPr>
        <w:footnoteReference w:id="7"/>
      </w:r>
      <w:r w:rsidR="00807B75" w:rsidRPr="0094374D">
        <w:rPr>
          <w:rFonts w:ascii="Arial" w:eastAsia="Times New Roman" w:hAnsi="Arial" w:cs="Arial"/>
          <w:color w:val="323232"/>
          <w:sz w:val="21"/>
          <w:szCs w:val="21"/>
          <w:lang w:eastAsia="tr-TR"/>
        </w:rPr>
        <w:t xml:space="preserve"> </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Anayasa Mahkemesine göre hükümlü ve tutukluların ifade özgürlüğü ile ceza infaz kurumunun güvenliğinin, disiplininin, düzeninin sağlanması ve mahkûmun ıslahı ihtiyacı arasında adil bir denge sağlanıp sağlanmadığının denetlenmesi gerekir. Mahkeme bunun yapılıp yapılmadığını gerekçeler üzerinden değerlendirmektedir. Buna göre ifade özgürlüğüne gerekçesiz olarak veya Anayasa Mahkemesince ortaya konulan kriterleri karşılamayan bir gerekçe ile yapılan müdahaleler Anayasa'nın 26. maddesini ihlal edecektir.</w:t>
      </w:r>
      <w:r w:rsidR="00807B75">
        <w:rPr>
          <w:rStyle w:val="DipnotBavurusu"/>
          <w:rFonts w:ascii="Arial" w:eastAsia="Times New Roman" w:hAnsi="Arial" w:cs="Arial"/>
          <w:color w:val="323232"/>
          <w:sz w:val="21"/>
          <w:szCs w:val="21"/>
          <w:lang w:eastAsia="tr-TR"/>
        </w:rPr>
        <w:footnoteReference w:id="8"/>
      </w:r>
      <w:r w:rsidR="00807B75" w:rsidRPr="0094374D">
        <w:rPr>
          <w:rFonts w:ascii="Arial" w:eastAsia="Times New Roman" w:hAnsi="Arial" w:cs="Arial"/>
          <w:color w:val="323232"/>
          <w:sz w:val="21"/>
          <w:szCs w:val="21"/>
          <w:lang w:eastAsia="tr-TR"/>
        </w:rPr>
        <w:t xml:space="preserve"> </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b/>
          <w:bCs/>
          <w:color w:val="323232"/>
          <w:sz w:val="21"/>
          <w:szCs w:val="21"/>
          <w:lang w:eastAsia="tr-TR"/>
        </w:rPr>
        <w:t>Değerli Katılımcılar,</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 xml:space="preserve">Antik çağlardan itibaren kamu gücü kullananların denetlenmesi, temel hak ve özgürlüklerin korunması bakımından bir gereklilik olarak kabul edilmiştir. Söz konusu hapishane olduğunda bu daha da anlamlı hâle gelmektedir. Zira burada iki gözetimden bahsetmek gerekir. Birincisi cezaevi görevlileri tarafından hükümlü ve tutukluların gözetlenmesidir. Bunun belki de en uç örneği </w:t>
      </w:r>
      <w:proofErr w:type="spellStart"/>
      <w:r w:rsidRPr="0094374D">
        <w:rPr>
          <w:rFonts w:ascii="Arial" w:eastAsia="Times New Roman" w:hAnsi="Arial" w:cs="Arial"/>
          <w:color w:val="323232"/>
          <w:sz w:val="21"/>
          <w:szCs w:val="21"/>
          <w:lang w:eastAsia="tr-TR"/>
        </w:rPr>
        <w:t>Jeremy</w:t>
      </w:r>
      <w:proofErr w:type="spellEnd"/>
      <w:r w:rsidRPr="0094374D">
        <w:rPr>
          <w:rFonts w:ascii="Arial" w:eastAsia="Times New Roman" w:hAnsi="Arial" w:cs="Arial"/>
          <w:color w:val="323232"/>
          <w:sz w:val="21"/>
          <w:szCs w:val="21"/>
          <w:lang w:eastAsia="tr-TR"/>
        </w:rPr>
        <w:t xml:space="preserve"> Bentham’ın “</w:t>
      </w:r>
      <w:proofErr w:type="spellStart"/>
      <w:r w:rsidRPr="0094374D">
        <w:rPr>
          <w:rFonts w:ascii="Arial" w:eastAsia="Times New Roman" w:hAnsi="Arial" w:cs="Arial"/>
          <w:color w:val="323232"/>
          <w:sz w:val="21"/>
          <w:szCs w:val="21"/>
          <w:lang w:eastAsia="tr-TR"/>
        </w:rPr>
        <w:t>panoptikon</w:t>
      </w:r>
      <w:proofErr w:type="spellEnd"/>
      <w:r w:rsidRPr="0094374D">
        <w:rPr>
          <w:rFonts w:ascii="Arial" w:eastAsia="Times New Roman" w:hAnsi="Arial" w:cs="Arial"/>
          <w:color w:val="323232"/>
          <w:sz w:val="21"/>
          <w:szCs w:val="21"/>
          <w:lang w:eastAsia="tr-TR"/>
        </w:rPr>
        <w:t xml:space="preserve">” adını verdiği hapishane modelidir. </w:t>
      </w:r>
      <w:proofErr w:type="spellStart"/>
      <w:r w:rsidRPr="0094374D">
        <w:rPr>
          <w:rFonts w:ascii="Arial" w:eastAsia="Times New Roman" w:hAnsi="Arial" w:cs="Arial"/>
          <w:color w:val="323232"/>
          <w:sz w:val="21"/>
          <w:szCs w:val="21"/>
          <w:lang w:eastAsia="tr-TR"/>
        </w:rPr>
        <w:t>Panoptikon</w:t>
      </w:r>
      <w:proofErr w:type="spellEnd"/>
      <w:r w:rsidRPr="0094374D">
        <w:rPr>
          <w:rFonts w:ascii="Arial" w:eastAsia="Times New Roman" w:hAnsi="Arial" w:cs="Arial"/>
          <w:color w:val="323232"/>
          <w:sz w:val="21"/>
          <w:szCs w:val="21"/>
          <w:lang w:eastAsia="tr-TR"/>
        </w:rPr>
        <w:t>, ortasında avlu ve yüksek kule bulunan dairesel bir binadır. Kulede bulunan gardiyanlar, kuleyi çevreleyen odalarda bulunan tüm mahkûmları izleyebilmektedir.</w:t>
      </w:r>
      <w:r w:rsidR="00807B75">
        <w:rPr>
          <w:rStyle w:val="DipnotBavurusu"/>
          <w:rFonts w:ascii="Arial" w:eastAsia="Times New Roman" w:hAnsi="Arial" w:cs="Arial"/>
          <w:color w:val="323232"/>
          <w:sz w:val="21"/>
          <w:szCs w:val="21"/>
          <w:lang w:eastAsia="tr-TR"/>
        </w:rPr>
        <w:footnoteReference w:id="9"/>
      </w:r>
      <w:r w:rsidR="00807B75" w:rsidRPr="0094374D">
        <w:rPr>
          <w:rFonts w:ascii="Arial" w:eastAsia="Times New Roman" w:hAnsi="Arial" w:cs="Arial"/>
          <w:color w:val="323232"/>
          <w:sz w:val="21"/>
          <w:szCs w:val="21"/>
          <w:lang w:eastAsia="tr-TR"/>
        </w:rPr>
        <w:t xml:space="preserve"> </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İkinci gözetim ise hükümlü ve tutukluları izleyen cezaevi görevlilerinin izlenmesidir. Bu mesele esasen “</w:t>
      </w:r>
      <w:r w:rsidRPr="0094374D">
        <w:rPr>
          <w:rFonts w:ascii="Arial" w:eastAsia="Times New Roman" w:hAnsi="Arial" w:cs="Arial"/>
          <w:i/>
          <w:iCs/>
          <w:color w:val="323232"/>
          <w:sz w:val="21"/>
          <w:szCs w:val="21"/>
          <w:lang w:eastAsia="tr-TR"/>
        </w:rPr>
        <w:t>İzleyenleri (gardiyanları) kim izleyecek</w:t>
      </w:r>
      <w:r w:rsidRPr="0094374D">
        <w:rPr>
          <w:rFonts w:ascii="Arial" w:eastAsia="Times New Roman" w:hAnsi="Arial" w:cs="Arial"/>
          <w:color w:val="323232"/>
          <w:sz w:val="21"/>
          <w:szCs w:val="21"/>
          <w:lang w:eastAsia="tr-TR"/>
        </w:rPr>
        <w:t>?” şeklindeki kadim sorunun yansımasıdır. Genel anlamda kamu gücü kullanan herkesin denetlenmesi gerektiğini ifade eden bu soru, hapishanelerin izlenmesi gerekliliğini de anlatmaktadır.</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Bu noktada belirtmek gerekir ki Anayasa Mahkemesi ceza infaz kurumlarından gelen temel hak ve özgürlüklerin ihlal edildiğine yönelik şikâyetlerde izleme kurulu raporlarını değerlendirmektedir. Özellikle tutma şartları bağlamında kötü muamele yasağının ihlal edilip edilmediğini değerlendirirken Mahkememiz </w:t>
      </w:r>
      <w:r w:rsidRPr="0094374D">
        <w:rPr>
          <w:rFonts w:ascii="Arial" w:eastAsia="Times New Roman" w:hAnsi="Arial" w:cs="Arial"/>
          <w:i/>
          <w:iCs/>
          <w:color w:val="323232"/>
          <w:sz w:val="21"/>
          <w:szCs w:val="21"/>
          <w:lang w:eastAsia="tr-TR"/>
        </w:rPr>
        <w:t>izleme kurulu raporlarını</w:t>
      </w:r>
      <w:r w:rsidRPr="0094374D">
        <w:rPr>
          <w:rFonts w:ascii="Arial" w:eastAsia="Times New Roman" w:hAnsi="Arial" w:cs="Arial"/>
          <w:color w:val="323232"/>
          <w:sz w:val="21"/>
          <w:szCs w:val="21"/>
          <w:lang w:eastAsia="tr-TR"/>
        </w:rPr>
        <w:t> da dikkate almaktadır.</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Anayasa Mahkemesi bir kararında bu konuya ilişkin olarak şu değerlendirmeyi yapmıştır: “</w:t>
      </w:r>
      <w:r w:rsidRPr="0094374D">
        <w:rPr>
          <w:rFonts w:ascii="Arial" w:eastAsia="Times New Roman" w:hAnsi="Arial" w:cs="Arial"/>
          <w:i/>
          <w:iCs/>
          <w:color w:val="323232"/>
          <w:sz w:val="21"/>
          <w:szCs w:val="21"/>
          <w:lang w:eastAsia="tr-TR"/>
        </w:rPr>
        <w:t>Rehabilitasyon Merkezinin resmî internet sitesinden temin edilen bilgilerin yanı sıra Ceza ve </w:t>
      </w:r>
      <w:proofErr w:type="spellStart"/>
      <w:r w:rsidRPr="0094374D">
        <w:rPr>
          <w:rFonts w:ascii="Arial" w:eastAsia="Times New Roman" w:hAnsi="Arial" w:cs="Arial"/>
          <w:i/>
          <w:iCs/>
          <w:color w:val="323232"/>
          <w:sz w:val="21"/>
          <w:szCs w:val="21"/>
          <w:lang w:eastAsia="tr-TR"/>
        </w:rPr>
        <w:t>Tevkifevleri</w:t>
      </w:r>
      <w:proofErr w:type="spellEnd"/>
      <w:r w:rsidRPr="0094374D">
        <w:rPr>
          <w:rFonts w:ascii="Arial" w:eastAsia="Times New Roman" w:hAnsi="Arial" w:cs="Arial"/>
          <w:i/>
          <w:iCs/>
          <w:color w:val="323232"/>
          <w:sz w:val="21"/>
          <w:szCs w:val="21"/>
          <w:lang w:eastAsia="tr-TR"/>
        </w:rPr>
        <w:t xml:space="preserve"> Genel Müdürlüğünün 30/6/2016 tarihli yazısı ve bu yazı </w:t>
      </w:r>
      <w:bookmarkStart w:id="1" w:name="_GoBack"/>
      <w:bookmarkEnd w:id="1"/>
      <w:r w:rsidRPr="0094374D">
        <w:rPr>
          <w:rFonts w:ascii="Arial" w:eastAsia="Times New Roman" w:hAnsi="Arial" w:cs="Arial"/>
          <w:i/>
          <w:iCs/>
          <w:color w:val="323232"/>
          <w:sz w:val="21"/>
          <w:szCs w:val="21"/>
          <w:lang w:eastAsia="tr-TR"/>
        </w:rPr>
        <w:t xml:space="preserve">ekinde sunulan İzleme </w:t>
      </w:r>
      <w:r w:rsidRPr="0094374D">
        <w:rPr>
          <w:rFonts w:ascii="Arial" w:eastAsia="Times New Roman" w:hAnsi="Arial" w:cs="Arial"/>
          <w:i/>
          <w:iCs/>
          <w:color w:val="323232"/>
          <w:sz w:val="21"/>
          <w:szCs w:val="21"/>
          <w:lang w:eastAsia="tr-TR"/>
        </w:rPr>
        <w:lastRenderedPageBreak/>
        <w:t>Kurulu raporlarında sunulan bilgiler, başvurucunun tutulma koşullarının incelenmesi bakımından dikkate alınabilecek en önemli verilerdir.</w:t>
      </w:r>
      <w:r w:rsidRPr="0094374D">
        <w:rPr>
          <w:rFonts w:ascii="Arial" w:eastAsia="Times New Roman" w:hAnsi="Arial" w:cs="Arial"/>
          <w:color w:val="323232"/>
          <w:sz w:val="21"/>
          <w:szCs w:val="21"/>
          <w:lang w:eastAsia="tr-TR"/>
        </w:rPr>
        <w:t>”</w:t>
      </w:r>
      <w:r w:rsidR="00807B75">
        <w:rPr>
          <w:rStyle w:val="DipnotBavurusu"/>
          <w:rFonts w:ascii="Arial" w:eastAsia="Times New Roman" w:hAnsi="Arial" w:cs="Arial"/>
          <w:color w:val="323232"/>
          <w:sz w:val="21"/>
          <w:szCs w:val="21"/>
          <w:lang w:eastAsia="tr-TR"/>
        </w:rPr>
        <w:footnoteReference w:id="10"/>
      </w:r>
      <w:r w:rsidR="00807B75" w:rsidRPr="0094374D">
        <w:rPr>
          <w:rFonts w:ascii="Arial" w:eastAsia="Times New Roman" w:hAnsi="Arial" w:cs="Arial"/>
          <w:color w:val="323232"/>
          <w:sz w:val="21"/>
          <w:szCs w:val="21"/>
          <w:lang w:eastAsia="tr-TR"/>
        </w:rPr>
        <w:t xml:space="preserve"> </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b/>
          <w:bCs/>
          <w:color w:val="323232"/>
          <w:sz w:val="21"/>
          <w:szCs w:val="21"/>
          <w:lang w:eastAsia="tr-TR"/>
        </w:rPr>
        <w:t>Değerli Katılımcılar,</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Sonuç olarak Anayasa Mahkemesinin kararlarında vurgulandığı üzere temel hak ve özgürlükler hürriyetinden yoksun bırakılan kişiler için de geçerlidir. Devlete düşen anayasal ve yasal yükümlülük bu hak ve özgürlüklerin korunması, ihlal edilip edilmediğinin etkili bir şekilde denetlenmesidir. Bu anlamda bugünkü sempozyumun çok önemli olduğunu düşünüyorum.</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Bu duygu ve düşüncelerle sempozyumun başarılı ve verimli geçmesini temenni ediyor, hepinize sağlık ve afiyet diliyorum.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94374D" w:rsidRPr="0094374D" w:rsidTr="0094374D">
        <w:trPr>
          <w:trHeight w:val="225"/>
          <w:jc w:val="right"/>
        </w:trPr>
        <w:tc>
          <w:tcPr>
            <w:tcW w:w="0" w:type="auto"/>
            <w:vAlign w:val="center"/>
            <w:hideMark/>
          </w:tcPr>
          <w:p w:rsidR="0094374D" w:rsidRPr="0094374D" w:rsidRDefault="0094374D" w:rsidP="0094374D">
            <w:pPr>
              <w:spacing w:after="0" w:line="240" w:lineRule="auto"/>
              <w:jc w:val="center"/>
              <w:rPr>
                <w:rFonts w:ascii="Times New Roman" w:eastAsia="Times New Roman" w:hAnsi="Times New Roman" w:cs="Times New Roman"/>
                <w:color w:val="424242"/>
                <w:sz w:val="24"/>
                <w:szCs w:val="24"/>
                <w:lang w:eastAsia="tr-TR"/>
              </w:rPr>
            </w:pPr>
            <w:bookmarkStart w:id="2" w:name="_ftn1"/>
            <w:r w:rsidRPr="0094374D">
              <w:rPr>
                <w:rFonts w:ascii="Times New Roman" w:eastAsia="Times New Roman" w:hAnsi="Times New Roman" w:cs="Times New Roman"/>
                <w:b/>
                <w:bCs/>
                <w:color w:val="424242"/>
                <w:sz w:val="24"/>
                <w:szCs w:val="24"/>
                <w:lang w:eastAsia="tr-TR"/>
              </w:rPr>
              <w:t>Zühtü ARSLAN</w:t>
            </w:r>
          </w:p>
        </w:tc>
      </w:tr>
      <w:tr w:rsidR="0094374D" w:rsidRPr="0094374D" w:rsidTr="0094374D">
        <w:trPr>
          <w:trHeight w:val="225"/>
          <w:jc w:val="right"/>
        </w:trPr>
        <w:tc>
          <w:tcPr>
            <w:tcW w:w="0" w:type="auto"/>
            <w:vAlign w:val="center"/>
            <w:hideMark/>
          </w:tcPr>
          <w:p w:rsidR="0094374D" w:rsidRPr="0094374D" w:rsidRDefault="0094374D" w:rsidP="0094374D">
            <w:pPr>
              <w:spacing w:after="0" w:line="240" w:lineRule="auto"/>
              <w:jc w:val="center"/>
              <w:rPr>
                <w:rFonts w:ascii="Times New Roman" w:eastAsia="Times New Roman" w:hAnsi="Times New Roman" w:cs="Times New Roman"/>
                <w:color w:val="424242"/>
                <w:sz w:val="24"/>
                <w:szCs w:val="24"/>
                <w:lang w:eastAsia="tr-TR"/>
              </w:rPr>
            </w:pPr>
            <w:r w:rsidRPr="0094374D">
              <w:rPr>
                <w:rFonts w:ascii="Times New Roman" w:eastAsia="Times New Roman" w:hAnsi="Times New Roman" w:cs="Times New Roman"/>
                <w:b/>
                <w:bCs/>
                <w:color w:val="424242"/>
                <w:sz w:val="24"/>
                <w:szCs w:val="24"/>
                <w:lang w:eastAsia="tr-TR"/>
              </w:rPr>
              <w:t>Anayasa Mahkemesi Başkanı</w:t>
            </w:r>
          </w:p>
        </w:tc>
      </w:tr>
    </w:tbl>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 </w:t>
      </w:r>
    </w:p>
    <w:p w:rsidR="0094374D" w:rsidRPr="0094374D" w:rsidRDefault="0094374D" w:rsidP="0094374D">
      <w:pPr>
        <w:spacing w:after="100" w:afterAutospacing="1" w:line="375" w:lineRule="atLeast"/>
        <w:jc w:val="both"/>
        <w:rPr>
          <w:rFonts w:ascii="Arial" w:eastAsia="Times New Roman" w:hAnsi="Arial" w:cs="Arial"/>
          <w:color w:val="323232"/>
          <w:sz w:val="21"/>
          <w:szCs w:val="21"/>
          <w:lang w:eastAsia="tr-TR"/>
        </w:rPr>
      </w:pPr>
      <w:r w:rsidRPr="0094374D">
        <w:rPr>
          <w:rFonts w:ascii="Arial" w:eastAsia="Times New Roman" w:hAnsi="Arial" w:cs="Arial"/>
          <w:color w:val="323232"/>
          <w:sz w:val="21"/>
          <w:szCs w:val="21"/>
          <w:lang w:eastAsia="tr-TR"/>
        </w:rPr>
        <w:t> </w:t>
      </w:r>
    </w:p>
    <w:p w:rsidR="0094374D" w:rsidRPr="0094374D" w:rsidRDefault="004C07C5" w:rsidP="0094374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p w:rsidR="0094374D" w:rsidRPr="0094374D" w:rsidRDefault="0094374D" w:rsidP="00807B75">
      <w:pPr>
        <w:spacing w:after="0" w:line="240" w:lineRule="auto"/>
        <w:jc w:val="both"/>
        <w:rPr>
          <w:rFonts w:ascii="Arial" w:eastAsia="Times New Roman" w:hAnsi="Arial" w:cs="Arial"/>
          <w:color w:val="323232"/>
          <w:sz w:val="21"/>
          <w:szCs w:val="21"/>
          <w:lang w:eastAsia="tr-TR"/>
        </w:rPr>
      </w:pPr>
      <w:r w:rsidRPr="0094374D">
        <w:rPr>
          <w:rFonts w:ascii="Arial" w:eastAsia="Times New Roman" w:hAnsi="Arial" w:cs="Arial"/>
          <w:color w:val="424242"/>
          <w:sz w:val="24"/>
          <w:szCs w:val="24"/>
          <w:lang w:eastAsia="tr-TR"/>
        </w:rPr>
        <w:br/>
      </w:r>
      <w:bookmarkStart w:id="3" w:name="_ftn0"/>
      <w:r w:rsidRPr="0094374D">
        <w:rPr>
          <w:rFonts w:ascii="Arial" w:eastAsia="Times New Roman" w:hAnsi="Arial" w:cs="Arial"/>
          <w:color w:val="323232"/>
          <w:sz w:val="21"/>
          <w:szCs w:val="21"/>
          <w:lang w:eastAsia="tr-TR"/>
        </w:rPr>
        <w:fldChar w:fldCharType="begin"/>
      </w:r>
      <w:r w:rsidRPr="0094374D">
        <w:rPr>
          <w:rFonts w:ascii="Arial" w:eastAsia="Times New Roman" w:hAnsi="Arial" w:cs="Arial"/>
          <w:color w:val="323232"/>
          <w:sz w:val="21"/>
          <w:szCs w:val="21"/>
          <w:lang w:eastAsia="tr-TR"/>
        </w:rPr>
        <w:instrText xml:space="preserve"> HYPERLINK "https://www.anayasa.gov.tr/tr/baskan/konusmalar/bireysel-basvuru-yoluyla-hukumlu-ve-tutuklu-haklarinin-korunmasi/" \l "_ftnref0" </w:instrText>
      </w:r>
      <w:r w:rsidRPr="0094374D">
        <w:rPr>
          <w:rFonts w:ascii="Arial" w:eastAsia="Times New Roman" w:hAnsi="Arial" w:cs="Arial"/>
          <w:color w:val="323232"/>
          <w:sz w:val="21"/>
          <w:szCs w:val="21"/>
          <w:lang w:eastAsia="tr-TR"/>
        </w:rPr>
        <w:fldChar w:fldCharType="separate"/>
      </w:r>
      <w:r w:rsidRPr="0094374D">
        <w:rPr>
          <w:rFonts w:ascii="Arial" w:eastAsia="Times New Roman" w:hAnsi="Arial" w:cs="Arial"/>
          <w:color w:val="323232"/>
          <w:sz w:val="16"/>
          <w:szCs w:val="16"/>
          <w:vertAlign w:val="superscript"/>
          <w:lang w:eastAsia="tr-TR"/>
        </w:rPr>
        <w:t>* </w:t>
      </w:r>
      <w:proofErr w:type="spellStart"/>
      <w:r w:rsidRPr="0094374D">
        <w:rPr>
          <w:rFonts w:ascii="Arial" w:eastAsia="Times New Roman" w:hAnsi="Arial" w:cs="Arial"/>
          <w:color w:val="323232"/>
          <w:sz w:val="21"/>
          <w:szCs w:val="21"/>
          <w:lang w:eastAsia="tr-TR"/>
        </w:rPr>
        <w:fldChar w:fldCharType="end"/>
      </w:r>
      <w:bookmarkEnd w:id="3"/>
      <w:r w:rsidRPr="0094374D">
        <w:rPr>
          <w:rFonts w:ascii="Arial" w:eastAsia="Times New Roman" w:hAnsi="Arial" w:cs="Arial"/>
          <w:color w:val="323232"/>
          <w:sz w:val="21"/>
          <w:szCs w:val="21"/>
          <w:lang w:eastAsia="tr-TR"/>
        </w:rPr>
        <w:t>TİHEK’in</w:t>
      </w:r>
      <w:proofErr w:type="spellEnd"/>
      <w:r w:rsidRPr="0094374D">
        <w:rPr>
          <w:rFonts w:ascii="Arial" w:eastAsia="Times New Roman" w:hAnsi="Arial" w:cs="Arial"/>
          <w:color w:val="323232"/>
          <w:sz w:val="21"/>
          <w:szCs w:val="21"/>
          <w:lang w:eastAsia="tr-TR"/>
        </w:rPr>
        <w:t xml:space="preserve"> düzenlediği “İnsan Hakları ve Ceza Adalet Sistemi Açısından Ceza İnfaz Kurumlarının İzlenmesi </w:t>
      </w:r>
      <w:proofErr w:type="spellStart"/>
      <w:r w:rsidRPr="0094374D">
        <w:rPr>
          <w:rFonts w:ascii="Arial" w:eastAsia="Times New Roman" w:hAnsi="Arial" w:cs="Arial"/>
          <w:color w:val="323232"/>
          <w:sz w:val="21"/>
          <w:szCs w:val="21"/>
          <w:lang w:eastAsia="tr-TR"/>
        </w:rPr>
        <w:t>Sempozyumu”nda</w:t>
      </w:r>
      <w:proofErr w:type="spellEnd"/>
      <w:r w:rsidRPr="0094374D">
        <w:rPr>
          <w:rFonts w:ascii="Arial" w:eastAsia="Times New Roman" w:hAnsi="Arial" w:cs="Arial"/>
          <w:color w:val="323232"/>
          <w:sz w:val="21"/>
          <w:szCs w:val="21"/>
          <w:lang w:eastAsia="tr-TR"/>
        </w:rPr>
        <w:t xml:space="preserve"> yapılan açış konuşması, Ankara, 2 Mart 2022.</w:t>
      </w:r>
      <w:bookmarkEnd w:id="2"/>
    </w:p>
    <w:sectPr w:rsidR="0094374D" w:rsidRPr="0094374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7C5" w:rsidRDefault="004C07C5" w:rsidP="0094374D">
      <w:pPr>
        <w:spacing w:after="0" w:line="240" w:lineRule="auto"/>
      </w:pPr>
      <w:r>
        <w:separator/>
      </w:r>
    </w:p>
  </w:endnote>
  <w:endnote w:type="continuationSeparator" w:id="0">
    <w:p w:rsidR="004C07C5" w:rsidRDefault="004C07C5" w:rsidP="0094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046706"/>
      <w:docPartObj>
        <w:docPartGallery w:val="Page Numbers (Bottom of Page)"/>
        <w:docPartUnique/>
      </w:docPartObj>
    </w:sdtPr>
    <w:sdtEndPr/>
    <w:sdtContent>
      <w:p w:rsidR="0094374D" w:rsidRDefault="0094374D">
        <w:pPr>
          <w:pStyle w:val="AltBilgi"/>
          <w:jc w:val="right"/>
        </w:pPr>
        <w:r>
          <w:fldChar w:fldCharType="begin"/>
        </w:r>
        <w:r>
          <w:instrText>PAGE   \* MERGEFORMAT</w:instrText>
        </w:r>
        <w:r>
          <w:fldChar w:fldCharType="separate"/>
        </w:r>
        <w:r>
          <w:t>2</w:t>
        </w:r>
        <w:r>
          <w:fldChar w:fldCharType="end"/>
        </w:r>
      </w:p>
    </w:sdtContent>
  </w:sdt>
  <w:p w:rsidR="0094374D" w:rsidRDefault="0094374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7C5" w:rsidRDefault="004C07C5" w:rsidP="0094374D">
      <w:pPr>
        <w:spacing w:after="0" w:line="240" w:lineRule="auto"/>
      </w:pPr>
      <w:r>
        <w:separator/>
      </w:r>
    </w:p>
  </w:footnote>
  <w:footnote w:type="continuationSeparator" w:id="0">
    <w:p w:rsidR="004C07C5" w:rsidRDefault="004C07C5" w:rsidP="0094374D">
      <w:pPr>
        <w:spacing w:after="0" w:line="240" w:lineRule="auto"/>
      </w:pPr>
      <w:r>
        <w:continuationSeparator/>
      </w:r>
    </w:p>
  </w:footnote>
  <w:footnote w:id="1">
    <w:p w:rsidR="00807B75" w:rsidRDefault="00807B75">
      <w:pPr>
        <w:pStyle w:val="DipnotMetni"/>
      </w:pPr>
      <w:r>
        <w:rPr>
          <w:rStyle w:val="DipnotBavurusu"/>
        </w:rPr>
        <w:footnoteRef/>
      </w:r>
      <w:r>
        <w:t xml:space="preserve"> </w:t>
      </w:r>
      <w:proofErr w:type="spellStart"/>
      <w:r w:rsidRPr="00807B75">
        <w:t>Michel</w:t>
      </w:r>
      <w:proofErr w:type="spellEnd"/>
      <w:r w:rsidRPr="00807B75">
        <w:t xml:space="preserve"> </w:t>
      </w:r>
      <w:proofErr w:type="spellStart"/>
      <w:r w:rsidRPr="00807B75">
        <w:t>Foucault</w:t>
      </w:r>
      <w:proofErr w:type="spellEnd"/>
      <w:r w:rsidRPr="00807B75">
        <w:t xml:space="preserve">, Hapishanenin Doğuşu, Çeviren: M. Ali </w:t>
      </w:r>
      <w:proofErr w:type="spellStart"/>
      <w:r w:rsidRPr="00807B75">
        <w:t>Kılıçbay</w:t>
      </w:r>
      <w:proofErr w:type="spellEnd"/>
      <w:r w:rsidRPr="00807B75">
        <w:t>, Ankara: İmge Kitabevi, 1992, s. 3.</w:t>
      </w:r>
    </w:p>
  </w:footnote>
  <w:footnote w:id="2">
    <w:p w:rsidR="00807B75" w:rsidRDefault="00807B75">
      <w:pPr>
        <w:pStyle w:val="DipnotMetni"/>
      </w:pPr>
      <w:r>
        <w:rPr>
          <w:rStyle w:val="DipnotBavurusu"/>
        </w:rPr>
        <w:footnoteRef/>
      </w:r>
      <w:r>
        <w:t xml:space="preserve"> </w:t>
      </w:r>
      <w:proofErr w:type="spellStart"/>
      <w:r w:rsidRPr="00807B75">
        <w:t>İbid</w:t>
      </w:r>
      <w:proofErr w:type="spellEnd"/>
      <w:r w:rsidRPr="00807B75">
        <w:t>., s. 292.</w:t>
      </w:r>
    </w:p>
  </w:footnote>
  <w:footnote w:id="3">
    <w:p w:rsidR="00807B75" w:rsidRDefault="00807B75">
      <w:pPr>
        <w:pStyle w:val="DipnotMetni"/>
      </w:pPr>
      <w:r>
        <w:rPr>
          <w:rStyle w:val="DipnotBavurusu"/>
        </w:rPr>
        <w:footnoteRef/>
      </w:r>
      <w:r>
        <w:t xml:space="preserve"> </w:t>
      </w:r>
      <w:proofErr w:type="spellStart"/>
      <w:r w:rsidRPr="00807B75">
        <w:t>Bejdar</w:t>
      </w:r>
      <w:proofErr w:type="spellEnd"/>
      <w:r w:rsidRPr="00807B75">
        <w:t xml:space="preserve"> </w:t>
      </w:r>
      <w:proofErr w:type="spellStart"/>
      <w:r w:rsidRPr="00807B75">
        <w:t>Ro</w:t>
      </w:r>
      <w:proofErr w:type="spellEnd"/>
      <w:r w:rsidRPr="00807B75">
        <w:t xml:space="preserve"> </w:t>
      </w:r>
      <w:proofErr w:type="spellStart"/>
      <w:r w:rsidRPr="00807B75">
        <w:t>Amed</w:t>
      </w:r>
      <w:proofErr w:type="spellEnd"/>
      <w:r w:rsidRPr="00807B75">
        <w:t xml:space="preserve"> (2) [GK], B. No: 2014/10257, 30/11/2016, § 32.</w:t>
      </w:r>
    </w:p>
  </w:footnote>
  <w:footnote w:id="4">
    <w:p w:rsidR="00807B75" w:rsidRDefault="00807B75">
      <w:pPr>
        <w:pStyle w:val="DipnotMetni"/>
      </w:pPr>
      <w:r>
        <w:rPr>
          <w:rStyle w:val="DipnotBavurusu"/>
        </w:rPr>
        <w:footnoteRef/>
      </w:r>
      <w:r>
        <w:t xml:space="preserve"> </w:t>
      </w:r>
      <w:r w:rsidRPr="00807B75">
        <w:t>Mehmet Hasan Altan (2) [GK], B. No: 2016/23672, 11/1/2018.</w:t>
      </w:r>
    </w:p>
  </w:footnote>
  <w:footnote w:id="5">
    <w:p w:rsidR="00807B75" w:rsidRDefault="00807B75">
      <w:pPr>
        <w:pStyle w:val="DipnotMetni"/>
      </w:pPr>
      <w:r>
        <w:rPr>
          <w:rStyle w:val="DipnotBavurusu"/>
        </w:rPr>
        <w:footnoteRef/>
      </w:r>
      <w:r>
        <w:t xml:space="preserve"> </w:t>
      </w:r>
      <w:r w:rsidRPr="00807B75">
        <w:t xml:space="preserve">Bkz. Turan </w:t>
      </w:r>
      <w:proofErr w:type="spellStart"/>
      <w:r w:rsidRPr="00807B75">
        <w:t>Günana</w:t>
      </w:r>
      <w:proofErr w:type="spellEnd"/>
      <w:r w:rsidRPr="00807B75">
        <w:t>, B. No: 2013/3550, 19/11/2014, §§ 36, 39.</w:t>
      </w:r>
    </w:p>
  </w:footnote>
  <w:footnote w:id="6">
    <w:p w:rsidR="00807B75" w:rsidRDefault="00807B75">
      <w:pPr>
        <w:pStyle w:val="DipnotMetni"/>
      </w:pPr>
      <w:r>
        <w:rPr>
          <w:rStyle w:val="DipnotBavurusu"/>
        </w:rPr>
        <w:footnoteRef/>
      </w:r>
      <w:r>
        <w:t xml:space="preserve"> </w:t>
      </w:r>
      <w:r w:rsidRPr="00807B75">
        <w:t>Emrah Yayla [GK], B. No: 2017/38732, 6/2/2020.</w:t>
      </w:r>
    </w:p>
  </w:footnote>
  <w:footnote w:id="7">
    <w:p w:rsidR="00807B75" w:rsidRDefault="00807B75">
      <w:pPr>
        <w:pStyle w:val="DipnotMetni"/>
      </w:pPr>
      <w:r>
        <w:rPr>
          <w:rStyle w:val="DipnotBavurusu"/>
        </w:rPr>
        <w:footnoteRef/>
      </w:r>
      <w:r>
        <w:t xml:space="preserve"> </w:t>
      </w:r>
      <w:r w:rsidRPr="00807B75">
        <w:t>Bkz. Kamuran Reşit Bekir [GK], B. No: 2013/3614, 8/4/2015, § 43.</w:t>
      </w:r>
    </w:p>
  </w:footnote>
  <w:footnote w:id="8">
    <w:p w:rsidR="00807B75" w:rsidRDefault="00807B75">
      <w:pPr>
        <w:pStyle w:val="DipnotMetni"/>
      </w:pPr>
      <w:r>
        <w:rPr>
          <w:rStyle w:val="DipnotBavurusu"/>
        </w:rPr>
        <w:footnoteRef/>
      </w:r>
      <w:r>
        <w:t xml:space="preserve"> </w:t>
      </w:r>
      <w:r w:rsidRPr="00807B75">
        <w:t xml:space="preserve">Bkz. </w:t>
      </w:r>
      <w:proofErr w:type="spellStart"/>
      <w:r w:rsidRPr="00807B75">
        <w:t>Bejdar</w:t>
      </w:r>
      <w:proofErr w:type="spellEnd"/>
      <w:r w:rsidRPr="00807B75">
        <w:t xml:space="preserve"> </w:t>
      </w:r>
      <w:proofErr w:type="spellStart"/>
      <w:r w:rsidRPr="00807B75">
        <w:t>Ro</w:t>
      </w:r>
      <w:proofErr w:type="spellEnd"/>
      <w:r w:rsidRPr="00807B75">
        <w:t xml:space="preserve"> </w:t>
      </w:r>
      <w:proofErr w:type="spellStart"/>
      <w:r w:rsidRPr="00807B75">
        <w:t>Amed</w:t>
      </w:r>
      <w:proofErr w:type="spellEnd"/>
      <w:r w:rsidRPr="00807B75">
        <w:t xml:space="preserve"> (2), §§ 36, 46.</w:t>
      </w:r>
    </w:p>
  </w:footnote>
  <w:footnote w:id="9">
    <w:p w:rsidR="00807B75" w:rsidRDefault="00807B75" w:rsidP="00807B75">
      <w:pPr>
        <w:pStyle w:val="DipnotMetni"/>
        <w:jc w:val="both"/>
      </w:pPr>
      <w:r>
        <w:rPr>
          <w:rStyle w:val="DipnotBavurusu"/>
        </w:rPr>
        <w:footnoteRef/>
      </w:r>
      <w:r>
        <w:t xml:space="preserve"> </w:t>
      </w:r>
      <w:proofErr w:type="spellStart"/>
      <w:r w:rsidRPr="00807B75">
        <w:t>Jeremy</w:t>
      </w:r>
      <w:proofErr w:type="spellEnd"/>
      <w:r w:rsidRPr="00807B75">
        <w:t xml:space="preserve"> Bentham, </w:t>
      </w:r>
      <w:proofErr w:type="spellStart"/>
      <w:r w:rsidRPr="00807B75">
        <w:t>Panoptikon</w:t>
      </w:r>
      <w:proofErr w:type="spellEnd"/>
      <w:r w:rsidRPr="00807B75">
        <w:t xml:space="preserve">: Gözün İktidarı, 3. Baskı, Çev. </w:t>
      </w:r>
      <w:proofErr w:type="spellStart"/>
      <w:proofErr w:type="gramStart"/>
      <w:r w:rsidRPr="00807B75">
        <w:t>B.Çoban</w:t>
      </w:r>
      <w:proofErr w:type="spellEnd"/>
      <w:proofErr w:type="gramEnd"/>
      <w:r w:rsidRPr="00807B75">
        <w:t xml:space="preserve"> ve Z. </w:t>
      </w:r>
      <w:proofErr w:type="spellStart"/>
      <w:r w:rsidRPr="00807B75">
        <w:t>Özarslan</w:t>
      </w:r>
      <w:proofErr w:type="spellEnd"/>
      <w:r w:rsidRPr="00807B75">
        <w:t>, İstanbul: Su Yayınları, 2019, s. 74.</w:t>
      </w:r>
    </w:p>
  </w:footnote>
  <w:footnote w:id="10">
    <w:p w:rsidR="00807B75" w:rsidRDefault="00807B75">
      <w:pPr>
        <w:pStyle w:val="DipnotMetni"/>
      </w:pPr>
      <w:r>
        <w:rPr>
          <w:rStyle w:val="DipnotBavurusu"/>
        </w:rPr>
        <w:footnoteRef/>
      </w:r>
      <w:r>
        <w:t xml:space="preserve"> </w:t>
      </w:r>
      <w:r w:rsidRPr="00807B75">
        <w:t>Ergin Aktaş, B. No: 2014/14810, 21/9/2016, § 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4D"/>
    <w:rsid w:val="004C07C5"/>
    <w:rsid w:val="005B6ED9"/>
    <w:rsid w:val="00807B75"/>
    <w:rsid w:val="00814BD5"/>
    <w:rsid w:val="009437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8EEA"/>
  <w15:chartTrackingRefBased/>
  <w15:docId w15:val="{FF6A0EF0-11D1-4AF3-929E-A1DC953B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94374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4374D"/>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94374D"/>
    <w:rPr>
      <w:color w:val="0000FF"/>
      <w:u w:val="single"/>
    </w:rPr>
  </w:style>
  <w:style w:type="paragraph" w:styleId="NormalWeb">
    <w:name w:val="Normal (Web)"/>
    <w:basedOn w:val="Normal"/>
    <w:uiPriority w:val="99"/>
    <w:semiHidden/>
    <w:unhideWhenUsed/>
    <w:rsid w:val="009437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4374D"/>
    <w:rPr>
      <w:b/>
      <w:bCs/>
    </w:rPr>
  </w:style>
  <w:style w:type="character" w:styleId="Vurgu">
    <w:name w:val="Emphasis"/>
    <w:basedOn w:val="VarsaylanParagrafYazTipi"/>
    <w:uiPriority w:val="20"/>
    <w:qFormat/>
    <w:rsid w:val="0094374D"/>
    <w:rPr>
      <w:i/>
      <w:iCs/>
    </w:rPr>
  </w:style>
  <w:style w:type="paragraph" w:styleId="stBilgi">
    <w:name w:val="header"/>
    <w:basedOn w:val="Normal"/>
    <w:link w:val="stBilgiChar"/>
    <w:uiPriority w:val="99"/>
    <w:unhideWhenUsed/>
    <w:rsid w:val="009437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374D"/>
  </w:style>
  <w:style w:type="paragraph" w:styleId="AltBilgi">
    <w:name w:val="footer"/>
    <w:basedOn w:val="Normal"/>
    <w:link w:val="AltBilgiChar"/>
    <w:uiPriority w:val="99"/>
    <w:unhideWhenUsed/>
    <w:rsid w:val="009437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374D"/>
  </w:style>
  <w:style w:type="paragraph" w:styleId="DipnotMetni">
    <w:name w:val="footnote text"/>
    <w:basedOn w:val="Normal"/>
    <w:link w:val="DipnotMetniChar"/>
    <w:uiPriority w:val="99"/>
    <w:semiHidden/>
    <w:unhideWhenUsed/>
    <w:rsid w:val="00807B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7B75"/>
    <w:rPr>
      <w:sz w:val="20"/>
      <w:szCs w:val="20"/>
    </w:rPr>
  </w:style>
  <w:style w:type="character" w:styleId="DipnotBavurusu">
    <w:name w:val="footnote reference"/>
    <w:basedOn w:val="VarsaylanParagrafYazTipi"/>
    <w:uiPriority w:val="99"/>
    <w:semiHidden/>
    <w:unhideWhenUsed/>
    <w:rsid w:val="00807B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6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7EB05-6A54-4AF6-9036-2440D7DB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2024-02-20T08:00:00Z</dcterms:created>
  <dcterms:modified xsi:type="dcterms:W3CDTF">2024-04-30T10:25:00Z</dcterms:modified>
</cp:coreProperties>
</file>