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B82" w:rsidRPr="002E5B82" w:rsidRDefault="002E5B82" w:rsidP="002E5B82">
      <w:pPr>
        <w:pBdr>
          <w:bottom w:val="single" w:sz="6" w:space="8" w:color="E9E9E9"/>
        </w:pBdr>
        <w:spacing w:after="300" w:line="240" w:lineRule="auto"/>
        <w:jc w:val="center"/>
        <w:outlineLvl w:val="2"/>
        <w:rPr>
          <w:rFonts w:ascii="Arial" w:eastAsia="Times New Roman" w:hAnsi="Arial" w:cs="Arial"/>
          <w:b/>
          <w:bCs/>
          <w:color w:val="323232"/>
          <w:sz w:val="30"/>
          <w:szCs w:val="30"/>
          <w:lang w:eastAsia="tr-TR"/>
        </w:rPr>
      </w:pPr>
      <w:r w:rsidRPr="002E5B82">
        <w:rPr>
          <w:rFonts w:ascii="Arial" w:eastAsia="Times New Roman" w:hAnsi="Arial" w:cs="Arial"/>
          <w:b/>
          <w:bCs/>
          <w:color w:val="323232"/>
          <w:sz w:val="30"/>
          <w:szCs w:val="30"/>
          <w:lang w:eastAsia="tr-TR"/>
        </w:rPr>
        <w:t>Adil Yargılanma Güvencesi Olarak Silahların Eşitliği İlkesi </w:t>
      </w:r>
      <w:bookmarkStart w:id="0" w:name="_ftnref0"/>
      <w:r w:rsidRPr="002E5B82">
        <w:rPr>
          <w:rFonts w:ascii="Arial" w:eastAsia="Times New Roman" w:hAnsi="Arial" w:cs="Arial"/>
          <w:b/>
          <w:bCs/>
          <w:color w:val="323232"/>
          <w:sz w:val="30"/>
          <w:szCs w:val="30"/>
          <w:lang w:eastAsia="tr-TR"/>
        </w:rPr>
        <w:fldChar w:fldCharType="begin"/>
      </w:r>
      <w:r w:rsidRPr="002E5B82">
        <w:rPr>
          <w:rFonts w:ascii="Arial" w:eastAsia="Times New Roman" w:hAnsi="Arial" w:cs="Arial"/>
          <w:b/>
          <w:bCs/>
          <w:color w:val="323232"/>
          <w:sz w:val="30"/>
          <w:szCs w:val="30"/>
          <w:lang w:eastAsia="tr-TR"/>
        </w:rPr>
        <w:instrText xml:space="preserve"> HYPERLINK "https://www.anayasa.gov.tr/tr/baskan/konusmalar/adil-yargilanma-guvencesi-olarak-silahlarin-esitligi-ilkesi" \l "_ftn0" </w:instrText>
      </w:r>
      <w:r w:rsidRPr="002E5B82">
        <w:rPr>
          <w:rFonts w:ascii="Arial" w:eastAsia="Times New Roman" w:hAnsi="Arial" w:cs="Arial"/>
          <w:b/>
          <w:bCs/>
          <w:color w:val="323232"/>
          <w:sz w:val="30"/>
          <w:szCs w:val="30"/>
          <w:lang w:eastAsia="tr-TR"/>
        </w:rPr>
        <w:fldChar w:fldCharType="separate"/>
      </w:r>
      <w:r w:rsidRPr="002E5B82">
        <w:rPr>
          <w:rFonts w:ascii="Arial" w:eastAsia="Times New Roman" w:hAnsi="Arial" w:cs="Arial"/>
          <w:b/>
          <w:bCs/>
          <w:color w:val="000000"/>
          <w:sz w:val="30"/>
          <w:szCs w:val="30"/>
          <w:lang w:eastAsia="tr-TR"/>
        </w:rPr>
        <w:t>*</w:t>
      </w:r>
      <w:r w:rsidRPr="002E5B82">
        <w:rPr>
          <w:rFonts w:ascii="Arial" w:eastAsia="Times New Roman" w:hAnsi="Arial" w:cs="Arial"/>
          <w:b/>
          <w:bCs/>
          <w:color w:val="323232"/>
          <w:sz w:val="30"/>
          <w:szCs w:val="30"/>
          <w:lang w:eastAsia="tr-TR"/>
        </w:rPr>
        <w:fldChar w:fldCharType="end"/>
      </w:r>
      <w:bookmarkEnd w:id="0"/>
    </w:p>
    <w:p w:rsidR="002E5B82" w:rsidRPr="002E5B82" w:rsidRDefault="002E5B82" w:rsidP="002E5B82">
      <w:pPr>
        <w:spacing w:after="100" w:afterAutospacing="1" w:line="375" w:lineRule="atLeast"/>
        <w:jc w:val="both"/>
        <w:rPr>
          <w:rFonts w:ascii="Arial" w:eastAsia="Times New Roman" w:hAnsi="Arial" w:cs="Arial"/>
          <w:color w:val="323232"/>
          <w:sz w:val="21"/>
          <w:szCs w:val="21"/>
          <w:lang w:eastAsia="tr-TR"/>
        </w:rPr>
      </w:pPr>
      <w:r w:rsidRPr="002E5B82">
        <w:rPr>
          <w:rFonts w:ascii="Arial" w:eastAsia="Times New Roman" w:hAnsi="Arial" w:cs="Arial"/>
          <w:b/>
          <w:bCs/>
          <w:color w:val="323232"/>
          <w:sz w:val="21"/>
          <w:szCs w:val="21"/>
          <w:lang w:eastAsia="tr-TR"/>
        </w:rPr>
        <w:t>Değerli Misafirler,</w:t>
      </w:r>
    </w:p>
    <w:p w:rsidR="002E5B82" w:rsidRPr="002E5B82" w:rsidRDefault="002E5B82" w:rsidP="002E5B82">
      <w:pPr>
        <w:spacing w:after="100" w:afterAutospacing="1" w:line="375" w:lineRule="atLeast"/>
        <w:jc w:val="both"/>
        <w:rPr>
          <w:rFonts w:ascii="Arial" w:eastAsia="Times New Roman" w:hAnsi="Arial" w:cs="Arial"/>
          <w:color w:val="323232"/>
          <w:sz w:val="21"/>
          <w:szCs w:val="21"/>
          <w:lang w:eastAsia="tr-TR"/>
        </w:rPr>
      </w:pPr>
      <w:r w:rsidRPr="002E5B82">
        <w:rPr>
          <w:rFonts w:ascii="Arial" w:eastAsia="Times New Roman" w:hAnsi="Arial" w:cs="Arial"/>
          <w:b/>
          <w:bCs/>
          <w:color w:val="323232"/>
          <w:sz w:val="21"/>
          <w:szCs w:val="21"/>
          <w:lang w:eastAsia="tr-TR"/>
        </w:rPr>
        <w:t>Saygıdeğer Katılımcılar,</w:t>
      </w:r>
    </w:p>
    <w:p w:rsidR="002E5B82" w:rsidRPr="002E5B82" w:rsidRDefault="002E5B82" w:rsidP="002E5B82">
      <w:pPr>
        <w:spacing w:after="100" w:afterAutospacing="1" w:line="375" w:lineRule="atLeast"/>
        <w:jc w:val="both"/>
        <w:rPr>
          <w:rFonts w:ascii="Arial" w:eastAsia="Times New Roman" w:hAnsi="Arial" w:cs="Arial"/>
          <w:color w:val="323232"/>
          <w:sz w:val="21"/>
          <w:szCs w:val="21"/>
          <w:lang w:eastAsia="tr-TR"/>
        </w:rPr>
      </w:pPr>
      <w:r w:rsidRPr="002E5B82">
        <w:rPr>
          <w:rFonts w:ascii="Arial" w:eastAsia="Times New Roman" w:hAnsi="Arial" w:cs="Arial"/>
          <w:b/>
          <w:bCs/>
          <w:color w:val="323232"/>
          <w:sz w:val="21"/>
          <w:szCs w:val="21"/>
          <w:lang w:eastAsia="tr-TR"/>
        </w:rPr>
        <w:t>Hanımefendiler, Beyefendiler,</w:t>
      </w:r>
    </w:p>
    <w:p w:rsidR="002E5B82" w:rsidRPr="002E5B82" w:rsidRDefault="002E5B82" w:rsidP="002E5B82">
      <w:pPr>
        <w:spacing w:after="100" w:afterAutospacing="1" w:line="375" w:lineRule="atLeast"/>
        <w:jc w:val="both"/>
        <w:rPr>
          <w:rFonts w:ascii="Arial" w:eastAsia="Times New Roman" w:hAnsi="Arial" w:cs="Arial"/>
          <w:color w:val="323232"/>
          <w:sz w:val="21"/>
          <w:szCs w:val="21"/>
          <w:lang w:eastAsia="tr-TR"/>
        </w:rPr>
      </w:pPr>
      <w:r w:rsidRPr="002E5B82">
        <w:rPr>
          <w:rFonts w:ascii="Arial" w:eastAsia="Times New Roman" w:hAnsi="Arial" w:cs="Arial"/>
          <w:color w:val="323232"/>
          <w:sz w:val="21"/>
          <w:szCs w:val="21"/>
          <w:lang w:eastAsia="tr-TR"/>
        </w:rPr>
        <w:t>Sizleri en içten duygularımla, saygıyla selamlıyorum.</w:t>
      </w:r>
    </w:p>
    <w:p w:rsidR="002E5B82" w:rsidRPr="002E5B82" w:rsidRDefault="002E5B82" w:rsidP="002E5B82">
      <w:pPr>
        <w:spacing w:after="100" w:afterAutospacing="1" w:line="375" w:lineRule="atLeast"/>
        <w:jc w:val="both"/>
        <w:rPr>
          <w:rFonts w:ascii="Arial" w:eastAsia="Times New Roman" w:hAnsi="Arial" w:cs="Arial"/>
          <w:color w:val="323232"/>
          <w:sz w:val="21"/>
          <w:szCs w:val="21"/>
          <w:lang w:eastAsia="tr-TR"/>
        </w:rPr>
      </w:pPr>
      <w:r w:rsidRPr="002E5B82">
        <w:rPr>
          <w:rFonts w:ascii="Arial" w:eastAsia="Times New Roman" w:hAnsi="Arial" w:cs="Arial"/>
          <w:color w:val="323232"/>
          <w:sz w:val="21"/>
          <w:szCs w:val="21"/>
          <w:lang w:eastAsia="tr-TR"/>
        </w:rPr>
        <w:t>Mahkememiz bünyesinde 2018 yılında kurulan Anayasa Yargısı Araştırmaları Merkezi (AYAM) ile Ankara Üniversitesi Hukuk Fakültesinin ortaklaşa düzenlediği silahların eşitliği konulu sempozyuma hoş geldiniz, şeref verdiniz.</w:t>
      </w:r>
    </w:p>
    <w:p w:rsidR="002E5B82" w:rsidRPr="002E5B82" w:rsidRDefault="002E5B82" w:rsidP="002E5B82">
      <w:pPr>
        <w:spacing w:after="100" w:afterAutospacing="1" w:line="375" w:lineRule="atLeast"/>
        <w:jc w:val="both"/>
        <w:rPr>
          <w:rFonts w:ascii="Arial" w:eastAsia="Times New Roman" w:hAnsi="Arial" w:cs="Arial"/>
          <w:color w:val="323232"/>
          <w:sz w:val="21"/>
          <w:szCs w:val="21"/>
          <w:lang w:eastAsia="tr-TR"/>
        </w:rPr>
      </w:pPr>
      <w:r w:rsidRPr="002E5B82">
        <w:rPr>
          <w:rFonts w:ascii="Arial" w:eastAsia="Times New Roman" w:hAnsi="Arial" w:cs="Arial"/>
          <w:color w:val="323232"/>
          <w:sz w:val="21"/>
          <w:szCs w:val="21"/>
          <w:lang w:eastAsia="tr-TR"/>
        </w:rPr>
        <w:t xml:space="preserve">Öncelikle birkaç cümleyle sizlere </w:t>
      </w:r>
      <w:proofErr w:type="spellStart"/>
      <w:r w:rsidRPr="002E5B82">
        <w:rPr>
          <w:rFonts w:ascii="Arial" w:eastAsia="Times New Roman" w:hAnsi="Arial" w:cs="Arial"/>
          <w:color w:val="323232"/>
          <w:sz w:val="21"/>
          <w:szCs w:val="21"/>
          <w:lang w:eastAsia="tr-TR"/>
        </w:rPr>
        <w:t>AYAM’dan</w:t>
      </w:r>
      <w:proofErr w:type="spellEnd"/>
      <w:r w:rsidRPr="002E5B82">
        <w:rPr>
          <w:rFonts w:ascii="Arial" w:eastAsia="Times New Roman" w:hAnsi="Arial" w:cs="Arial"/>
          <w:color w:val="323232"/>
          <w:sz w:val="21"/>
          <w:szCs w:val="21"/>
          <w:lang w:eastAsia="tr-TR"/>
        </w:rPr>
        <w:t xml:space="preserve"> bahsetmek istiyorum. Adından da anlaşılacağı üzere AYAM, anayasa yargısı alanında araştırma ve yayın faaliyetlerinde bulunmakla görevli idari bir birimdir. </w:t>
      </w:r>
      <w:proofErr w:type="spellStart"/>
      <w:r w:rsidRPr="002E5B82">
        <w:rPr>
          <w:rFonts w:ascii="Arial" w:eastAsia="Times New Roman" w:hAnsi="Arial" w:cs="Arial"/>
          <w:color w:val="323232"/>
          <w:sz w:val="21"/>
          <w:szCs w:val="21"/>
          <w:lang w:eastAsia="tr-TR"/>
        </w:rPr>
        <w:t>AYAM’ı</w:t>
      </w:r>
      <w:proofErr w:type="spellEnd"/>
      <w:r w:rsidRPr="002E5B82">
        <w:rPr>
          <w:rFonts w:ascii="Arial" w:eastAsia="Times New Roman" w:hAnsi="Arial" w:cs="Arial"/>
          <w:color w:val="323232"/>
          <w:sz w:val="21"/>
          <w:szCs w:val="21"/>
          <w:lang w:eastAsia="tr-TR"/>
        </w:rPr>
        <w:t xml:space="preserve"> kurarken temel düşüncemiz Anayasa Mahkemesi ile akademik hukuk camiası arasında güçlü bir iletişim kurmak, bu suretle Mahkememiz içtihatlarının gelişimine katkı sağlamaktı.</w:t>
      </w:r>
    </w:p>
    <w:p w:rsidR="002E5B82" w:rsidRPr="002E5B82" w:rsidRDefault="002E5B82" w:rsidP="002E5B82">
      <w:pPr>
        <w:spacing w:after="100" w:afterAutospacing="1" w:line="375" w:lineRule="atLeast"/>
        <w:jc w:val="both"/>
        <w:rPr>
          <w:rFonts w:ascii="Arial" w:eastAsia="Times New Roman" w:hAnsi="Arial" w:cs="Arial"/>
          <w:color w:val="323232"/>
          <w:sz w:val="21"/>
          <w:szCs w:val="21"/>
          <w:lang w:eastAsia="tr-TR"/>
        </w:rPr>
      </w:pPr>
      <w:r w:rsidRPr="002E5B82">
        <w:rPr>
          <w:rFonts w:ascii="Arial" w:eastAsia="Times New Roman" w:hAnsi="Arial" w:cs="Arial"/>
          <w:color w:val="323232"/>
          <w:sz w:val="21"/>
          <w:szCs w:val="21"/>
          <w:lang w:eastAsia="tr-TR"/>
        </w:rPr>
        <w:t xml:space="preserve">AYAM, bu amaca yönelik olarak bir yandan yılda iki kez hakemli olarak yayımlanan Anayasa Yargısı dergisi başta olmak üzere yayın faaliyetlerini, diğer yandan da anayasa yargısı ve insan hakları hukuku alanında muhtelif konularda sempozyum, konferans ve </w:t>
      </w:r>
      <w:proofErr w:type="spellStart"/>
      <w:r w:rsidRPr="002E5B82">
        <w:rPr>
          <w:rFonts w:ascii="Arial" w:eastAsia="Times New Roman" w:hAnsi="Arial" w:cs="Arial"/>
          <w:color w:val="323232"/>
          <w:sz w:val="21"/>
          <w:szCs w:val="21"/>
          <w:lang w:eastAsia="tr-TR"/>
        </w:rPr>
        <w:t>çalıştay</w:t>
      </w:r>
      <w:proofErr w:type="spellEnd"/>
      <w:r w:rsidRPr="002E5B82">
        <w:rPr>
          <w:rFonts w:ascii="Arial" w:eastAsia="Times New Roman" w:hAnsi="Arial" w:cs="Arial"/>
          <w:color w:val="323232"/>
          <w:sz w:val="21"/>
          <w:szCs w:val="21"/>
          <w:lang w:eastAsia="tr-TR"/>
        </w:rPr>
        <w:t xml:space="preserve"> gibi akademik faaliyetleri sürdürmektedir.</w:t>
      </w:r>
    </w:p>
    <w:p w:rsidR="002E5B82" w:rsidRPr="002E5B82" w:rsidRDefault="002E5B82" w:rsidP="002E5B82">
      <w:pPr>
        <w:spacing w:after="100" w:afterAutospacing="1" w:line="375" w:lineRule="atLeast"/>
        <w:jc w:val="both"/>
        <w:rPr>
          <w:rFonts w:ascii="Arial" w:eastAsia="Times New Roman" w:hAnsi="Arial" w:cs="Arial"/>
          <w:color w:val="323232"/>
          <w:sz w:val="21"/>
          <w:szCs w:val="21"/>
          <w:lang w:eastAsia="tr-TR"/>
        </w:rPr>
      </w:pPr>
      <w:r w:rsidRPr="002E5B82">
        <w:rPr>
          <w:rFonts w:ascii="Arial" w:eastAsia="Times New Roman" w:hAnsi="Arial" w:cs="Arial"/>
          <w:color w:val="323232"/>
          <w:sz w:val="21"/>
          <w:szCs w:val="21"/>
          <w:lang w:eastAsia="tr-TR"/>
        </w:rPr>
        <w:t xml:space="preserve">Açılışını yaptığımız sempozyum da </w:t>
      </w:r>
      <w:proofErr w:type="spellStart"/>
      <w:r w:rsidRPr="002E5B82">
        <w:rPr>
          <w:rFonts w:ascii="Arial" w:eastAsia="Times New Roman" w:hAnsi="Arial" w:cs="Arial"/>
          <w:color w:val="323232"/>
          <w:sz w:val="21"/>
          <w:szCs w:val="21"/>
          <w:lang w:eastAsia="tr-TR"/>
        </w:rPr>
        <w:t>AYAM’ın</w:t>
      </w:r>
      <w:proofErr w:type="spellEnd"/>
      <w:r w:rsidRPr="002E5B82">
        <w:rPr>
          <w:rFonts w:ascii="Arial" w:eastAsia="Times New Roman" w:hAnsi="Arial" w:cs="Arial"/>
          <w:color w:val="323232"/>
          <w:sz w:val="21"/>
          <w:szCs w:val="21"/>
          <w:lang w:eastAsia="tr-TR"/>
        </w:rPr>
        <w:t xml:space="preserve"> bu kapsamdaki faaliyetlerinden biridir. Silahların eşitliği konulu bu bilimsel programda akademisyenlerle uygulayıcıları, tabir yerindeyse konunun kitabını yazanlarla o kitaplarda ele alınan yargı kararlarının inşasında yer alanları bir araya getirmeye çalıştık. Bu vesileyle başta Ankara Üniversitemizin değerli Rektörü ile Hukuk Fakültesinin Dekanı olmak üzere organizasyonda emeği geçen herkese teşekkür ediyor, sunum ve yorumlarıyla katkı yapacak olan tüm hocalarımıza ve yargı mensuplarımıza şimdiden teşekkür ediyorum.</w:t>
      </w:r>
    </w:p>
    <w:p w:rsidR="002E5B82" w:rsidRPr="002E5B82" w:rsidRDefault="002E5B82" w:rsidP="002E5B82">
      <w:pPr>
        <w:spacing w:after="100" w:afterAutospacing="1" w:line="375" w:lineRule="atLeast"/>
        <w:jc w:val="both"/>
        <w:rPr>
          <w:rFonts w:ascii="Arial" w:eastAsia="Times New Roman" w:hAnsi="Arial" w:cs="Arial"/>
          <w:color w:val="323232"/>
          <w:sz w:val="21"/>
          <w:szCs w:val="21"/>
          <w:lang w:eastAsia="tr-TR"/>
        </w:rPr>
      </w:pPr>
      <w:r w:rsidRPr="002E5B82">
        <w:rPr>
          <w:rFonts w:ascii="Arial" w:eastAsia="Times New Roman" w:hAnsi="Arial" w:cs="Arial"/>
          <w:b/>
          <w:bCs/>
          <w:color w:val="323232"/>
          <w:sz w:val="21"/>
          <w:szCs w:val="21"/>
          <w:lang w:eastAsia="tr-TR"/>
        </w:rPr>
        <w:t>Değerli Katılımcılar,</w:t>
      </w:r>
    </w:p>
    <w:p w:rsidR="002E5B82" w:rsidRPr="002E5B82" w:rsidRDefault="002E5B82" w:rsidP="002E5B82">
      <w:pPr>
        <w:spacing w:after="100" w:afterAutospacing="1" w:line="375" w:lineRule="atLeast"/>
        <w:jc w:val="both"/>
        <w:rPr>
          <w:rFonts w:ascii="Arial" w:eastAsia="Times New Roman" w:hAnsi="Arial" w:cs="Arial"/>
          <w:color w:val="323232"/>
          <w:sz w:val="21"/>
          <w:szCs w:val="21"/>
          <w:lang w:eastAsia="tr-TR"/>
        </w:rPr>
      </w:pPr>
      <w:r w:rsidRPr="002E5B82">
        <w:rPr>
          <w:rFonts w:ascii="Arial" w:eastAsia="Times New Roman" w:hAnsi="Arial" w:cs="Arial"/>
          <w:color w:val="323232"/>
          <w:sz w:val="21"/>
          <w:szCs w:val="21"/>
          <w:lang w:eastAsia="tr-TR"/>
        </w:rPr>
        <w:t xml:space="preserve">Adil yargılanma hakkının bir unsuru olarak silahların eşitliği nispeten yeni bir kavramdır. Bu kavramın insan hakları hukukunda kullanılması, Avrupa İnsan Hakları Komisyonunun 1962 yılında yayımlanan bir kararıyla başlamıştır. Komisyon, ardından da Avrupa İnsan Hakları Mahkemesi </w:t>
      </w:r>
      <w:r w:rsidRPr="002E5B82">
        <w:rPr>
          <w:rFonts w:ascii="Arial" w:eastAsia="Times New Roman" w:hAnsi="Arial" w:cs="Arial"/>
          <w:color w:val="323232"/>
          <w:sz w:val="21"/>
          <w:szCs w:val="21"/>
          <w:lang w:eastAsia="tr-TR"/>
        </w:rPr>
        <w:lastRenderedPageBreak/>
        <w:t>silahların eşitliğini geniş anlamda adil yargılanma hakkında mündemiç bir güvence olarak nitelendirmiştir.</w:t>
      </w:r>
      <w:r w:rsidR="007D35A9">
        <w:rPr>
          <w:rStyle w:val="DipnotBavurusu"/>
          <w:rFonts w:ascii="Arial" w:eastAsia="Times New Roman" w:hAnsi="Arial" w:cs="Arial"/>
          <w:color w:val="323232"/>
          <w:sz w:val="21"/>
          <w:szCs w:val="21"/>
          <w:lang w:eastAsia="tr-TR"/>
        </w:rPr>
        <w:footnoteReference w:id="1"/>
      </w:r>
      <w:r w:rsidR="007D35A9" w:rsidRPr="002E5B82">
        <w:rPr>
          <w:rFonts w:ascii="Arial" w:eastAsia="Times New Roman" w:hAnsi="Arial" w:cs="Arial"/>
          <w:color w:val="323232"/>
          <w:sz w:val="21"/>
          <w:szCs w:val="21"/>
          <w:lang w:eastAsia="tr-TR"/>
        </w:rPr>
        <w:t xml:space="preserve"> </w:t>
      </w:r>
    </w:p>
    <w:p w:rsidR="002E5B82" w:rsidRPr="002E5B82" w:rsidRDefault="002E5B82" w:rsidP="002E5B82">
      <w:pPr>
        <w:spacing w:after="100" w:afterAutospacing="1" w:line="375" w:lineRule="atLeast"/>
        <w:jc w:val="both"/>
        <w:rPr>
          <w:rFonts w:ascii="Arial" w:eastAsia="Times New Roman" w:hAnsi="Arial" w:cs="Arial"/>
          <w:color w:val="323232"/>
          <w:sz w:val="21"/>
          <w:szCs w:val="21"/>
          <w:lang w:eastAsia="tr-TR"/>
        </w:rPr>
      </w:pPr>
      <w:r w:rsidRPr="002E5B82">
        <w:rPr>
          <w:rFonts w:ascii="Arial" w:eastAsia="Times New Roman" w:hAnsi="Arial" w:cs="Arial"/>
          <w:color w:val="323232"/>
          <w:sz w:val="21"/>
          <w:szCs w:val="21"/>
          <w:lang w:eastAsia="tr-TR"/>
        </w:rPr>
        <w:t>Hemen belirtmek gerekir ki anlam bakımından silahların eşitliği kadim bir ilkedir. Milattan önce 399 yılında yargılanan ve ölüme mahkûm edilen Sokrates, yargılama sürecini ve usulünü neredeyse hiç sorgulamamıştır.</w:t>
      </w:r>
      <w:r w:rsidR="007D35A9">
        <w:rPr>
          <w:rStyle w:val="DipnotBavurusu"/>
          <w:rFonts w:ascii="Arial" w:eastAsia="Times New Roman" w:hAnsi="Arial" w:cs="Arial"/>
          <w:color w:val="323232"/>
          <w:sz w:val="21"/>
          <w:szCs w:val="21"/>
          <w:lang w:eastAsia="tr-TR"/>
        </w:rPr>
        <w:footnoteReference w:id="2"/>
      </w:r>
      <w:r w:rsidRPr="002E5B82">
        <w:rPr>
          <w:rFonts w:ascii="Arial" w:eastAsia="Times New Roman" w:hAnsi="Arial" w:cs="Arial"/>
          <w:color w:val="323232"/>
          <w:sz w:val="21"/>
          <w:szCs w:val="21"/>
          <w:lang w:eastAsia="tr-TR"/>
        </w:rPr>
        <w:t> Bununla birlikte suçlu bulunduktan sonra Sokrates bir gün içinde karara bağlanan davada kendisine çok az süre tanındığı için hâkimleri suçsuz olduğuna inandıramadığını söylemiştir. Sokrates’e göre “</w:t>
      </w:r>
      <w:r w:rsidRPr="002E5B82">
        <w:rPr>
          <w:rFonts w:ascii="Arial" w:eastAsia="Times New Roman" w:hAnsi="Arial" w:cs="Arial"/>
          <w:i/>
          <w:iCs/>
          <w:color w:val="323232"/>
          <w:sz w:val="21"/>
          <w:szCs w:val="21"/>
          <w:lang w:eastAsia="tr-TR"/>
        </w:rPr>
        <w:t>Bu kadar kısa süre içinde bu kadar büyük iftiralardan kurtulmak kolay değil</w:t>
      </w:r>
      <w:proofErr w:type="gramStart"/>
      <w:r w:rsidRPr="002E5B82">
        <w:rPr>
          <w:rFonts w:ascii="Arial" w:eastAsia="Times New Roman" w:hAnsi="Arial" w:cs="Arial"/>
          <w:i/>
          <w:iCs/>
          <w:color w:val="323232"/>
          <w:sz w:val="21"/>
          <w:szCs w:val="21"/>
          <w:lang w:eastAsia="tr-TR"/>
        </w:rPr>
        <w:t>.</w:t>
      </w:r>
      <w:r w:rsidRPr="002E5B82">
        <w:rPr>
          <w:rFonts w:ascii="Arial" w:eastAsia="Times New Roman" w:hAnsi="Arial" w:cs="Arial"/>
          <w:color w:val="323232"/>
          <w:sz w:val="21"/>
          <w:szCs w:val="21"/>
          <w:lang w:eastAsia="tr-TR"/>
        </w:rPr>
        <w:t>”</w:t>
      </w:r>
      <w:proofErr w:type="spellStart"/>
      <w:r w:rsidRPr="002E5B82">
        <w:rPr>
          <w:rFonts w:ascii="Arial" w:eastAsia="Times New Roman" w:hAnsi="Arial" w:cs="Arial"/>
          <w:color w:val="323232"/>
          <w:sz w:val="21"/>
          <w:szCs w:val="21"/>
          <w:lang w:eastAsia="tr-TR"/>
        </w:rPr>
        <w:t>dir</w:t>
      </w:r>
      <w:proofErr w:type="spellEnd"/>
      <w:proofErr w:type="gramEnd"/>
      <w:r w:rsidRPr="002E5B82">
        <w:rPr>
          <w:rFonts w:ascii="Arial" w:eastAsia="Times New Roman" w:hAnsi="Arial" w:cs="Arial"/>
          <w:color w:val="323232"/>
          <w:sz w:val="21"/>
          <w:szCs w:val="21"/>
          <w:lang w:eastAsia="tr-TR"/>
        </w:rPr>
        <w:t>.</w:t>
      </w:r>
      <w:r w:rsidR="007D35A9">
        <w:rPr>
          <w:rStyle w:val="DipnotBavurusu"/>
          <w:rFonts w:ascii="Arial" w:eastAsia="Times New Roman" w:hAnsi="Arial" w:cs="Arial"/>
          <w:color w:val="323232"/>
          <w:sz w:val="21"/>
          <w:szCs w:val="21"/>
          <w:lang w:eastAsia="tr-TR"/>
        </w:rPr>
        <w:footnoteReference w:id="3"/>
      </w:r>
      <w:r w:rsidRPr="002E5B82">
        <w:rPr>
          <w:rFonts w:ascii="Arial" w:eastAsia="Times New Roman" w:hAnsi="Arial" w:cs="Arial"/>
          <w:color w:val="323232"/>
          <w:sz w:val="21"/>
          <w:szCs w:val="21"/>
          <w:lang w:eastAsia="tr-TR"/>
        </w:rPr>
        <w:t> Esasen bu sözleriyle Sokrates, silahların eşitliği ilkesinin özel görünüm biçimlerini oluşturan sanığın asgari haklarından olan savunma için gerekli zamanın tanınmasına işaret etmekteydi.</w:t>
      </w:r>
    </w:p>
    <w:p w:rsidR="002E5B82" w:rsidRPr="002E5B82" w:rsidRDefault="002E5B82" w:rsidP="002E5B82">
      <w:pPr>
        <w:spacing w:after="100" w:afterAutospacing="1" w:line="375" w:lineRule="atLeast"/>
        <w:jc w:val="both"/>
        <w:rPr>
          <w:rFonts w:ascii="Arial" w:eastAsia="Times New Roman" w:hAnsi="Arial" w:cs="Arial"/>
          <w:color w:val="323232"/>
          <w:sz w:val="21"/>
          <w:szCs w:val="21"/>
          <w:lang w:eastAsia="tr-TR"/>
        </w:rPr>
      </w:pPr>
      <w:r w:rsidRPr="002E5B82">
        <w:rPr>
          <w:rFonts w:ascii="Arial" w:eastAsia="Times New Roman" w:hAnsi="Arial" w:cs="Arial"/>
          <w:color w:val="323232"/>
          <w:sz w:val="21"/>
          <w:szCs w:val="21"/>
          <w:lang w:eastAsia="tr-TR"/>
        </w:rPr>
        <w:t>Silahların eşitliği ilkesinin kökenini Avrupa’da Orta Çağ boyunca uygulanan ve “</w:t>
      </w:r>
      <w:r w:rsidRPr="002E5B82">
        <w:rPr>
          <w:rFonts w:ascii="Arial" w:eastAsia="Times New Roman" w:hAnsi="Arial" w:cs="Arial"/>
          <w:i/>
          <w:iCs/>
          <w:color w:val="323232"/>
          <w:sz w:val="21"/>
          <w:szCs w:val="21"/>
          <w:lang w:eastAsia="tr-TR"/>
        </w:rPr>
        <w:t>adli düello</w:t>
      </w:r>
      <w:r w:rsidRPr="002E5B82">
        <w:rPr>
          <w:rFonts w:ascii="Arial" w:eastAsia="Times New Roman" w:hAnsi="Arial" w:cs="Arial"/>
          <w:color w:val="323232"/>
          <w:sz w:val="21"/>
          <w:szCs w:val="21"/>
          <w:lang w:eastAsia="tr-TR"/>
        </w:rPr>
        <w:t>” olarak bilinen muhakeme yöntemine dayandıran görüşlerin olduğu bilinmektedir. Bu yöntemde muhakeme belli ölçüde “</w:t>
      </w:r>
      <w:proofErr w:type="spellStart"/>
      <w:r w:rsidRPr="002E5B82">
        <w:rPr>
          <w:rFonts w:ascii="Arial" w:eastAsia="Times New Roman" w:hAnsi="Arial" w:cs="Arial"/>
          <w:i/>
          <w:iCs/>
          <w:color w:val="323232"/>
          <w:sz w:val="21"/>
          <w:szCs w:val="21"/>
          <w:lang w:eastAsia="tr-TR"/>
        </w:rPr>
        <w:t>mukatele</w:t>
      </w:r>
      <w:proofErr w:type="spellEnd"/>
      <w:r w:rsidRPr="002E5B82">
        <w:rPr>
          <w:rFonts w:ascii="Arial" w:eastAsia="Times New Roman" w:hAnsi="Arial" w:cs="Arial"/>
          <w:color w:val="323232"/>
          <w:sz w:val="21"/>
          <w:szCs w:val="21"/>
          <w:lang w:eastAsia="tr-TR"/>
        </w:rPr>
        <w:t>” olarak anlaşılmış ve uygulanmıştır. Dolayısıyla suçlayan ve suçlanan arasındaki uyuşmazlık “</w:t>
      </w:r>
      <w:r w:rsidRPr="002E5B82">
        <w:rPr>
          <w:rFonts w:ascii="Arial" w:eastAsia="Times New Roman" w:hAnsi="Arial" w:cs="Arial"/>
          <w:i/>
          <w:iCs/>
          <w:color w:val="323232"/>
          <w:sz w:val="21"/>
          <w:szCs w:val="21"/>
          <w:lang w:eastAsia="tr-TR"/>
        </w:rPr>
        <w:t>adli düello</w:t>
      </w:r>
      <w:r w:rsidRPr="002E5B82">
        <w:rPr>
          <w:rFonts w:ascii="Arial" w:eastAsia="Times New Roman" w:hAnsi="Arial" w:cs="Arial"/>
          <w:color w:val="323232"/>
          <w:sz w:val="21"/>
          <w:szCs w:val="21"/>
          <w:lang w:eastAsia="tr-TR"/>
        </w:rPr>
        <w:t>” yoluyla sonuçlandırılmıştır.</w:t>
      </w:r>
      <w:r w:rsidR="007D35A9">
        <w:rPr>
          <w:rStyle w:val="DipnotBavurusu"/>
          <w:rFonts w:ascii="Arial" w:eastAsia="Times New Roman" w:hAnsi="Arial" w:cs="Arial"/>
          <w:color w:val="323232"/>
          <w:sz w:val="21"/>
          <w:szCs w:val="21"/>
          <w:lang w:eastAsia="tr-TR"/>
        </w:rPr>
        <w:footnoteReference w:id="4"/>
      </w:r>
      <w:r w:rsidRPr="002E5B82">
        <w:rPr>
          <w:rFonts w:ascii="Arial" w:eastAsia="Times New Roman" w:hAnsi="Arial" w:cs="Arial"/>
          <w:color w:val="323232"/>
          <w:sz w:val="21"/>
          <w:szCs w:val="21"/>
          <w:lang w:eastAsia="tr-TR"/>
        </w:rPr>
        <w:t> Burada hâkimin görevi düellonun eşit şartlarda, aynı mahiyetteki silahlarla yapılmasını sağlamaktır.</w:t>
      </w:r>
      <w:r w:rsidR="007D35A9">
        <w:rPr>
          <w:rStyle w:val="DipnotBavurusu"/>
          <w:rFonts w:ascii="Arial" w:eastAsia="Times New Roman" w:hAnsi="Arial" w:cs="Arial"/>
          <w:color w:val="323232"/>
          <w:sz w:val="21"/>
          <w:szCs w:val="21"/>
          <w:lang w:eastAsia="tr-TR"/>
        </w:rPr>
        <w:footnoteReference w:id="5"/>
      </w:r>
      <w:r w:rsidR="007D35A9" w:rsidRPr="002E5B82">
        <w:rPr>
          <w:rFonts w:ascii="Arial" w:eastAsia="Times New Roman" w:hAnsi="Arial" w:cs="Arial"/>
          <w:color w:val="323232"/>
          <w:sz w:val="21"/>
          <w:szCs w:val="21"/>
          <w:lang w:eastAsia="tr-TR"/>
        </w:rPr>
        <w:t xml:space="preserve"> </w:t>
      </w:r>
    </w:p>
    <w:p w:rsidR="002E5B82" w:rsidRPr="002E5B82" w:rsidRDefault="002E5B82" w:rsidP="002E5B82">
      <w:pPr>
        <w:spacing w:after="100" w:afterAutospacing="1" w:line="375" w:lineRule="atLeast"/>
        <w:jc w:val="both"/>
        <w:rPr>
          <w:rFonts w:ascii="Arial" w:eastAsia="Times New Roman" w:hAnsi="Arial" w:cs="Arial"/>
          <w:color w:val="323232"/>
          <w:sz w:val="21"/>
          <w:szCs w:val="21"/>
          <w:lang w:eastAsia="tr-TR"/>
        </w:rPr>
      </w:pPr>
      <w:r w:rsidRPr="002E5B82">
        <w:rPr>
          <w:rFonts w:ascii="Arial" w:eastAsia="Times New Roman" w:hAnsi="Arial" w:cs="Arial"/>
          <w:color w:val="323232"/>
          <w:sz w:val="21"/>
          <w:szCs w:val="21"/>
          <w:lang w:eastAsia="tr-TR"/>
        </w:rPr>
        <w:t>Bu noktada silahların eşitliği ilkesinin hâkime bakan yönü ortaya çıkmaktadır. Bu ilke gereğince hâkim yargılamada taraflardan birinin lehine, diğerinin aleyhine olacak şekilde davranmaktan kaçınmalıdır. Mecelle, bu anlamda silahların eşitliği ilkesini belki de en özlü şekilde ifade eden metindir: “</w:t>
      </w:r>
      <w:r w:rsidRPr="002E5B82">
        <w:rPr>
          <w:rFonts w:ascii="Arial" w:eastAsia="Times New Roman" w:hAnsi="Arial" w:cs="Arial"/>
          <w:i/>
          <w:iCs/>
          <w:color w:val="323232"/>
          <w:sz w:val="21"/>
          <w:szCs w:val="21"/>
          <w:lang w:eastAsia="tr-TR"/>
        </w:rPr>
        <w:t xml:space="preserve">Hâkim </w:t>
      </w:r>
      <w:proofErr w:type="spellStart"/>
      <w:r w:rsidRPr="002E5B82">
        <w:rPr>
          <w:rFonts w:ascii="Arial" w:eastAsia="Times New Roman" w:hAnsi="Arial" w:cs="Arial"/>
          <w:i/>
          <w:iCs/>
          <w:color w:val="323232"/>
          <w:sz w:val="21"/>
          <w:szCs w:val="21"/>
          <w:lang w:eastAsia="tr-TR"/>
        </w:rPr>
        <w:t>beyn</w:t>
      </w:r>
      <w:proofErr w:type="spellEnd"/>
      <w:r w:rsidRPr="002E5B82">
        <w:rPr>
          <w:rFonts w:ascii="Arial" w:eastAsia="Times New Roman" w:hAnsi="Arial" w:cs="Arial"/>
          <w:i/>
          <w:iCs/>
          <w:color w:val="323232"/>
          <w:sz w:val="21"/>
          <w:szCs w:val="21"/>
          <w:lang w:eastAsia="tr-TR"/>
        </w:rPr>
        <w:t xml:space="preserve">-el </w:t>
      </w:r>
      <w:proofErr w:type="spellStart"/>
      <w:r w:rsidRPr="002E5B82">
        <w:rPr>
          <w:rFonts w:ascii="Arial" w:eastAsia="Times New Roman" w:hAnsi="Arial" w:cs="Arial"/>
          <w:i/>
          <w:iCs/>
          <w:color w:val="323232"/>
          <w:sz w:val="21"/>
          <w:szCs w:val="21"/>
          <w:lang w:eastAsia="tr-TR"/>
        </w:rPr>
        <w:t>hasmeyn</w:t>
      </w:r>
      <w:proofErr w:type="spellEnd"/>
      <w:r w:rsidRPr="002E5B82">
        <w:rPr>
          <w:rFonts w:ascii="Arial" w:eastAsia="Times New Roman" w:hAnsi="Arial" w:cs="Arial"/>
          <w:i/>
          <w:iCs/>
          <w:color w:val="323232"/>
          <w:sz w:val="21"/>
          <w:szCs w:val="21"/>
          <w:lang w:eastAsia="tr-TR"/>
        </w:rPr>
        <w:t xml:space="preserve"> </w:t>
      </w:r>
      <w:proofErr w:type="spellStart"/>
      <w:r w:rsidRPr="002E5B82">
        <w:rPr>
          <w:rFonts w:ascii="Arial" w:eastAsia="Times New Roman" w:hAnsi="Arial" w:cs="Arial"/>
          <w:i/>
          <w:iCs/>
          <w:color w:val="323232"/>
          <w:sz w:val="21"/>
          <w:szCs w:val="21"/>
          <w:lang w:eastAsia="tr-TR"/>
        </w:rPr>
        <w:t>adl</w:t>
      </w:r>
      <w:proofErr w:type="spellEnd"/>
      <w:r w:rsidRPr="002E5B82">
        <w:rPr>
          <w:rFonts w:ascii="Arial" w:eastAsia="Times New Roman" w:hAnsi="Arial" w:cs="Arial"/>
          <w:i/>
          <w:iCs/>
          <w:color w:val="323232"/>
          <w:sz w:val="21"/>
          <w:szCs w:val="21"/>
          <w:lang w:eastAsia="tr-TR"/>
        </w:rPr>
        <w:t xml:space="preserve"> ile </w:t>
      </w:r>
      <w:proofErr w:type="spellStart"/>
      <w:r w:rsidRPr="002E5B82">
        <w:rPr>
          <w:rFonts w:ascii="Arial" w:eastAsia="Times New Roman" w:hAnsi="Arial" w:cs="Arial"/>
          <w:i/>
          <w:iCs/>
          <w:color w:val="323232"/>
          <w:sz w:val="21"/>
          <w:szCs w:val="21"/>
          <w:lang w:eastAsia="tr-TR"/>
        </w:rPr>
        <w:t>me’murdur</w:t>
      </w:r>
      <w:proofErr w:type="spellEnd"/>
      <w:r w:rsidRPr="002E5B82">
        <w:rPr>
          <w:rFonts w:ascii="Arial" w:eastAsia="Times New Roman" w:hAnsi="Arial" w:cs="Arial"/>
          <w:i/>
          <w:iCs/>
          <w:color w:val="323232"/>
          <w:sz w:val="21"/>
          <w:szCs w:val="21"/>
          <w:lang w:eastAsia="tr-TR"/>
        </w:rPr>
        <w:t>.</w:t>
      </w:r>
      <w:r w:rsidRPr="002E5B82">
        <w:rPr>
          <w:rFonts w:ascii="Arial" w:eastAsia="Times New Roman" w:hAnsi="Arial" w:cs="Arial"/>
          <w:color w:val="323232"/>
          <w:sz w:val="21"/>
          <w:szCs w:val="21"/>
          <w:lang w:eastAsia="tr-TR"/>
        </w:rPr>
        <w:t>” (</w:t>
      </w:r>
      <w:proofErr w:type="gramStart"/>
      <w:r w:rsidRPr="002E5B82">
        <w:rPr>
          <w:rFonts w:ascii="Arial" w:eastAsia="Times New Roman" w:hAnsi="Arial" w:cs="Arial"/>
          <w:color w:val="323232"/>
          <w:sz w:val="21"/>
          <w:szCs w:val="21"/>
          <w:lang w:eastAsia="tr-TR"/>
        </w:rPr>
        <w:t>m.</w:t>
      </w:r>
      <w:proofErr w:type="gramEnd"/>
      <w:r w:rsidRPr="002E5B82">
        <w:rPr>
          <w:rFonts w:ascii="Arial" w:eastAsia="Times New Roman" w:hAnsi="Arial" w:cs="Arial"/>
          <w:color w:val="323232"/>
          <w:sz w:val="21"/>
          <w:szCs w:val="21"/>
          <w:lang w:eastAsia="tr-TR"/>
        </w:rPr>
        <w:t xml:space="preserve"> 1799).</w:t>
      </w:r>
    </w:p>
    <w:p w:rsidR="002E5B82" w:rsidRPr="002E5B82" w:rsidRDefault="002E5B82" w:rsidP="002E5B82">
      <w:pPr>
        <w:spacing w:after="100" w:afterAutospacing="1" w:line="375" w:lineRule="atLeast"/>
        <w:jc w:val="both"/>
        <w:rPr>
          <w:rFonts w:ascii="Arial" w:eastAsia="Times New Roman" w:hAnsi="Arial" w:cs="Arial"/>
          <w:color w:val="323232"/>
          <w:sz w:val="21"/>
          <w:szCs w:val="21"/>
          <w:lang w:eastAsia="tr-TR"/>
        </w:rPr>
      </w:pPr>
      <w:proofErr w:type="spellStart"/>
      <w:r w:rsidRPr="002E5B82">
        <w:rPr>
          <w:rFonts w:ascii="Arial" w:eastAsia="Times New Roman" w:hAnsi="Arial" w:cs="Arial"/>
          <w:color w:val="323232"/>
          <w:sz w:val="21"/>
          <w:szCs w:val="21"/>
          <w:lang w:eastAsia="tr-TR"/>
        </w:rPr>
        <w:t>Mecelle’nin</w:t>
      </w:r>
      <w:proofErr w:type="spellEnd"/>
      <w:r w:rsidRPr="002E5B82">
        <w:rPr>
          <w:rFonts w:ascii="Arial" w:eastAsia="Times New Roman" w:hAnsi="Arial" w:cs="Arial"/>
          <w:color w:val="323232"/>
          <w:sz w:val="21"/>
          <w:szCs w:val="21"/>
          <w:lang w:eastAsia="tr-TR"/>
        </w:rPr>
        <w:t xml:space="preserve"> bu hükmü yorumlanırken “</w:t>
      </w:r>
      <w:proofErr w:type="spellStart"/>
      <w:r w:rsidRPr="002E5B82">
        <w:rPr>
          <w:rFonts w:ascii="Arial" w:eastAsia="Times New Roman" w:hAnsi="Arial" w:cs="Arial"/>
          <w:color w:val="323232"/>
          <w:sz w:val="21"/>
          <w:szCs w:val="21"/>
          <w:lang w:eastAsia="tr-TR"/>
        </w:rPr>
        <w:t>adl</w:t>
      </w:r>
      <w:proofErr w:type="spellEnd"/>
      <w:r w:rsidRPr="002E5B82">
        <w:rPr>
          <w:rFonts w:ascii="Arial" w:eastAsia="Times New Roman" w:hAnsi="Arial" w:cs="Arial"/>
          <w:color w:val="323232"/>
          <w:sz w:val="21"/>
          <w:szCs w:val="21"/>
          <w:lang w:eastAsia="tr-TR"/>
        </w:rPr>
        <w:t>” yani “adalet” kavramının iki anlamına dikkat çekilmiştir. Birincisi </w:t>
      </w:r>
      <w:proofErr w:type="spellStart"/>
      <w:r w:rsidRPr="002E5B82">
        <w:rPr>
          <w:rFonts w:ascii="Arial" w:eastAsia="Times New Roman" w:hAnsi="Arial" w:cs="Arial"/>
          <w:i/>
          <w:iCs/>
          <w:color w:val="323232"/>
          <w:sz w:val="21"/>
          <w:szCs w:val="21"/>
          <w:lang w:eastAsia="tr-TR"/>
        </w:rPr>
        <w:t>adl</w:t>
      </w:r>
      <w:proofErr w:type="spellEnd"/>
      <w:r w:rsidRPr="002E5B82">
        <w:rPr>
          <w:rFonts w:ascii="Arial" w:eastAsia="Times New Roman" w:hAnsi="Arial" w:cs="Arial"/>
          <w:i/>
          <w:iCs/>
          <w:color w:val="323232"/>
          <w:sz w:val="21"/>
          <w:szCs w:val="21"/>
          <w:lang w:eastAsia="tr-TR"/>
        </w:rPr>
        <w:t xml:space="preserve">-i </w:t>
      </w:r>
      <w:proofErr w:type="spellStart"/>
      <w:r w:rsidRPr="002E5B82">
        <w:rPr>
          <w:rFonts w:ascii="Arial" w:eastAsia="Times New Roman" w:hAnsi="Arial" w:cs="Arial"/>
          <w:i/>
          <w:iCs/>
          <w:color w:val="323232"/>
          <w:sz w:val="21"/>
          <w:szCs w:val="21"/>
          <w:lang w:eastAsia="tr-TR"/>
        </w:rPr>
        <w:t>müsâvât</w:t>
      </w:r>
      <w:proofErr w:type="spellEnd"/>
      <w:r w:rsidRPr="002E5B82">
        <w:rPr>
          <w:rFonts w:ascii="Arial" w:eastAsia="Times New Roman" w:hAnsi="Arial" w:cs="Arial"/>
          <w:i/>
          <w:iCs/>
          <w:color w:val="323232"/>
          <w:sz w:val="21"/>
          <w:szCs w:val="21"/>
          <w:lang w:eastAsia="tr-TR"/>
        </w:rPr>
        <w:t> </w:t>
      </w:r>
      <w:r w:rsidRPr="002E5B82">
        <w:rPr>
          <w:rFonts w:ascii="Arial" w:eastAsia="Times New Roman" w:hAnsi="Arial" w:cs="Arial"/>
          <w:color w:val="323232"/>
          <w:sz w:val="21"/>
          <w:szCs w:val="21"/>
          <w:lang w:eastAsia="tr-TR"/>
        </w:rPr>
        <w:t>yani beraberliktir</w:t>
      </w:r>
      <w:r w:rsidRPr="002E5B82">
        <w:rPr>
          <w:rFonts w:ascii="Arial" w:eastAsia="Times New Roman" w:hAnsi="Arial" w:cs="Arial"/>
          <w:i/>
          <w:iCs/>
          <w:color w:val="323232"/>
          <w:sz w:val="21"/>
          <w:szCs w:val="21"/>
          <w:lang w:eastAsia="tr-TR"/>
        </w:rPr>
        <w:t>.</w:t>
      </w:r>
      <w:r w:rsidRPr="002E5B82">
        <w:rPr>
          <w:rFonts w:ascii="Arial" w:eastAsia="Times New Roman" w:hAnsi="Arial" w:cs="Arial"/>
          <w:color w:val="323232"/>
          <w:sz w:val="21"/>
          <w:szCs w:val="21"/>
          <w:lang w:eastAsia="tr-TR"/>
        </w:rPr>
        <w:t> Buna göre hâkim taraflar arasında eşit davranmakla yükümlüdür.</w:t>
      </w:r>
      <w:r w:rsidR="007D35A9">
        <w:rPr>
          <w:rStyle w:val="DipnotBavurusu"/>
          <w:rFonts w:ascii="Arial" w:eastAsia="Times New Roman" w:hAnsi="Arial" w:cs="Arial"/>
          <w:color w:val="323232"/>
          <w:sz w:val="21"/>
          <w:szCs w:val="21"/>
          <w:lang w:eastAsia="tr-TR"/>
        </w:rPr>
        <w:footnoteReference w:id="6"/>
      </w:r>
      <w:r w:rsidRPr="002E5B82">
        <w:rPr>
          <w:rFonts w:ascii="Arial" w:eastAsia="Times New Roman" w:hAnsi="Arial" w:cs="Arial"/>
          <w:color w:val="323232"/>
          <w:sz w:val="21"/>
          <w:szCs w:val="21"/>
          <w:lang w:eastAsia="tr-TR"/>
        </w:rPr>
        <w:t>  İkincisi, adalet hakkın teslimidir. Buna göre hâkim taraflar arasında “</w:t>
      </w:r>
      <w:r w:rsidRPr="002E5B82">
        <w:rPr>
          <w:rFonts w:ascii="Arial" w:eastAsia="Times New Roman" w:hAnsi="Arial" w:cs="Arial"/>
          <w:i/>
          <w:iCs/>
          <w:color w:val="323232"/>
          <w:sz w:val="21"/>
          <w:szCs w:val="21"/>
          <w:lang w:eastAsia="tr-TR"/>
        </w:rPr>
        <w:t xml:space="preserve">Adâlet etmeğe </w:t>
      </w:r>
      <w:proofErr w:type="spellStart"/>
      <w:r w:rsidRPr="002E5B82">
        <w:rPr>
          <w:rFonts w:ascii="Arial" w:eastAsia="Times New Roman" w:hAnsi="Arial" w:cs="Arial"/>
          <w:i/>
          <w:iCs/>
          <w:color w:val="323232"/>
          <w:sz w:val="21"/>
          <w:szCs w:val="21"/>
          <w:lang w:eastAsia="tr-TR"/>
        </w:rPr>
        <w:t>memûr</w:t>
      </w:r>
      <w:proofErr w:type="spellEnd"/>
      <w:r w:rsidRPr="002E5B82">
        <w:rPr>
          <w:rFonts w:ascii="Arial" w:eastAsia="Times New Roman" w:hAnsi="Arial" w:cs="Arial"/>
          <w:i/>
          <w:iCs/>
          <w:color w:val="323232"/>
          <w:sz w:val="21"/>
          <w:szCs w:val="21"/>
          <w:lang w:eastAsia="tr-TR"/>
        </w:rPr>
        <w:t xml:space="preserve"> olup, </w:t>
      </w:r>
      <w:proofErr w:type="spellStart"/>
      <w:r w:rsidRPr="002E5B82">
        <w:rPr>
          <w:rFonts w:ascii="Arial" w:eastAsia="Times New Roman" w:hAnsi="Arial" w:cs="Arial"/>
          <w:i/>
          <w:iCs/>
          <w:color w:val="323232"/>
          <w:sz w:val="21"/>
          <w:szCs w:val="21"/>
          <w:lang w:eastAsia="tr-TR"/>
        </w:rPr>
        <w:t>hakk</w:t>
      </w:r>
      <w:proofErr w:type="spellEnd"/>
      <w:r w:rsidRPr="002E5B82">
        <w:rPr>
          <w:rFonts w:ascii="Arial" w:eastAsia="Times New Roman" w:hAnsi="Arial" w:cs="Arial"/>
          <w:i/>
          <w:iCs/>
          <w:color w:val="323232"/>
          <w:sz w:val="21"/>
          <w:szCs w:val="21"/>
          <w:lang w:eastAsia="tr-TR"/>
        </w:rPr>
        <w:t xml:space="preserve"> kimin elinde ise onun lehinde </w:t>
      </w:r>
      <w:proofErr w:type="spellStart"/>
      <w:r w:rsidRPr="002E5B82">
        <w:rPr>
          <w:rFonts w:ascii="Arial" w:eastAsia="Times New Roman" w:hAnsi="Arial" w:cs="Arial"/>
          <w:i/>
          <w:iCs/>
          <w:color w:val="323232"/>
          <w:sz w:val="21"/>
          <w:szCs w:val="21"/>
          <w:lang w:eastAsia="tr-TR"/>
        </w:rPr>
        <w:t>i’tâ-yı</w:t>
      </w:r>
      <w:proofErr w:type="spellEnd"/>
      <w:r w:rsidRPr="002E5B82">
        <w:rPr>
          <w:rFonts w:ascii="Arial" w:eastAsia="Times New Roman" w:hAnsi="Arial" w:cs="Arial"/>
          <w:i/>
          <w:iCs/>
          <w:color w:val="323232"/>
          <w:sz w:val="21"/>
          <w:szCs w:val="21"/>
          <w:lang w:eastAsia="tr-TR"/>
        </w:rPr>
        <w:t xml:space="preserve"> hüküm ve </w:t>
      </w:r>
      <w:proofErr w:type="spellStart"/>
      <w:r w:rsidRPr="002E5B82">
        <w:rPr>
          <w:rFonts w:ascii="Arial" w:eastAsia="Times New Roman" w:hAnsi="Arial" w:cs="Arial"/>
          <w:i/>
          <w:iCs/>
          <w:color w:val="323232"/>
          <w:sz w:val="21"/>
          <w:szCs w:val="21"/>
          <w:lang w:eastAsia="tr-TR"/>
        </w:rPr>
        <w:t>karâra</w:t>
      </w:r>
      <w:proofErr w:type="spellEnd"/>
      <w:r w:rsidRPr="002E5B82">
        <w:rPr>
          <w:rFonts w:ascii="Arial" w:eastAsia="Times New Roman" w:hAnsi="Arial" w:cs="Arial"/>
          <w:i/>
          <w:iCs/>
          <w:color w:val="323232"/>
          <w:sz w:val="21"/>
          <w:szCs w:val="21"/>
          <w:lang w:eastAsia="tr-TR"/>
        </w:rPr>
        <w:t xml:space="preserve"> </w:t>
      </w:r>
      <w:proofErr w:type="spellStart"/>
      <w:r w:rsidRPr="002E5B82">
        <w:rPr>
          <w:rFonts w:ascii="Arial" w:eastAsia="Times New Roman" w:hAnsi="Arial" w:cs="Arial"/>
          <w:i/>
          <w:iCs/>
          <w:color w:val="323232"/>
          <w:sz w:val="21"/>
          <w:szCs w:val="21"/>
          <w:lang w:eastAsia="tr-TR"/>
        </w:rPr>
        <w:t>mecbûrdur</w:t>
      </w:r>
      <w:proofErr w:type="spellEnd"/>
      <w:r w:rsidRPr="002E5B82">
        <w:rPr>
          <w:rFonts w:ascii="Arial" w:eastAsia="Times New Roman" w:hAnsi="Arial" w:cs="Arial"/>
          <w:color w:val="323232"/>
          <w:sz w:val="21"/>
          <w:szCs w:val="21"/>
          <w:lang w:eastAsia="tr-TR"/>
        </w:rPr>
        <w:t>.”</w:t>
      </w:r>
      <w:r w:rsidR="007D35A9">
        <w:rPr>
          <w:rStyle w:val="DipnotBavurusu"/>
          <w:rFonts w:ascii="Arial" w:eastAsia="Times New Roman" w:hAnsi="Arial" w:cs="Arial"/>
          <w:color w:val="323232"/>
          <w:sz w:val="21"/>
          <w:szCs w:val="21"/>
          <w:lang w:eastAsia="tr-TR"/>
        </w:rPr>
        <w:footnoteReference w:id="7"/>
      </w:r>
      <w:r w:rsidRPr="002E5B82">
        <w:rPr>
          <w:rFonts w:ascii="Arial" w:eastAsia="Times New Roman" w:hAnsi="Arial" w:cs="Arial"/>
          <w:color w:val="323232"/>
          <w:sz w:val="21"/>
          <w:szCs w:val="21"/>
          <w:lang w:eastAsia="tr-TR"/>
        </w:rPr>
        <w:t> Başka bir ifadeyle hâkim hakkaniyete uygun şekilde yürüttüğü yargılamayı aynı şekilde adil bir kararla sonuçlandırmalıdır.</w:t>
      </w:r>
    </w:p>
    <w:p w:rsidR="002E5B82" w:rsidRPr="002E5B82" w:rsidRDefault="002E5B82" w:rsidP="002E5B82">
      <w:pPr>
        <w:spacing w:after="100" w:afterAutospacing="1" w:line="375" w:lineRule="atLeast"/>
        <w:jc w:val="both"/>
        <w:rPr>
          <w:rFonts w:ascii="Arial" w:eastAsia="Times New Roman" w:hAnsi="Arial" w:cs="Arial"/>
          <w:color w:val="323232"/>
          <w:sz w:val="21"/>
          <w:szCs w:val="21"/>
          <w:lang w:eastAsia="tr-TR"/>
        </w:rPr>
      </w:pPr>
      <w:r w:rsidRPr="002E5B82">
        <w:rPr>
          <w:rFonts w:ascii="Arial" w:eastAsia="Times New Roman" w:hAnsi="Arial" w:cs="Arial"/>
          <w:color w:val="323232"/>
          <w:sz w:val="21"/>
          <w:szCs w:val="21"/>
          <w:lang w:eastAsia="tr-TR"/>
        </w:rPr>
        <w:lastRenderedPageBreak/>
        <w:t>Öte yandan belirtmek gerekir ki silahların eşitliği, tarafların mutlak surette aynı hak ve yetkilere sahip olması anlamına gelmemektedir. Esasen bu bilhassa ceza yargılamasında mümkün de değildir. Bu nedenle “</w:t>
      </w:r>
      <w:r w:rsidRPr="002E5B82">
        <w:rPr>
          <w:rFonts w:ascii="Arial" w:eastAsia="Times New Roman" w:hAnsi="Arial" w:cs="Arial"/>
          <w:i/>
          <w:iCs/>
          <w:color w:val="323232"/>
          <w:sz w:val="21"/>
          <w:szCs w:val="21"/>
          <w:lang w:eastAsia="tr-TR"/>
        </w:rPr>
        <w:t>Çelişmeyi bir düello (mücadele) olarak gören anlayıştan kalan silâhlarda eşitlik ilkesini, bugün artık durumların dengesi şeklinde kabul edip yorumlamak gerekir.”</w:t>
      </w:r>
      <w:r w:rsidR="007D35A9">
        <w:rPr>
          <w:rStyle w:val="DipnotBavurusu"/>
          <w:rFonts w:ascii="Arial" w:eastAsia="Times New Roman" w:hAnsi="Arial" w:cs="Arial"/>
          <w:i/>
          <w:iCs/>
          <w:color w:val="323232"/>
          <w:sz w:val="21"/>
          <w:szCs w:val="21"/>
          <w:lang w:eastAsia="tr-TR"/>
        </w:rPr>
        <w:footnoteReference w:id="8"/>
      </w:r>
      <w:r w:rsidRPr="002E5B82">
        <w:rPr>
          <w:rFonts w:ascii="Arial" w:eastAsia="Times New Roman" w:hAnsi="Arial" w:cs="Arial"/>
          <w:color w:val="323232"/>
          <w:sz w:val="21"/>
          <w:szCs w:val="21"/>
          <w:lang w:eastAsia="tr-TR"/>
        </w:rPr>
        <w:t> Nitekim Anayasa Mahkemesi ve Avrupa İnsan Hakları Mahkemesinin kararlarında vurgulandığı üzere amaç taraflar arasında makul bir dengenin sağlanmasıdır.</w:t>
      </w:r>
    </w:p>
    <w:p w:rsidR="002E5B82" w:rsidRPr="002E5B82" w:rsidRDefault="002E5B82" w:rsidP="002E5B82">
      <w:pPr>
        <w:spacing w:after="100" w:afterAutospacing="1" w:line="375" w:lineRule="atLeast"/>
        <w:jc w:val="both"/>
        <w:rPr>
          <w:rFonts w:ascii="Arial" w:eastAsia="Times New Roman" w:hAnsi="Arial" w:cs="Arial"/>
          <w:color w:val="323232"/>
          <w:sz w:val="21"/>
          <w:szCs w:val="21"/>
          <w:lang w:eastAsia="tr-TR"/>
        </w:rPr>
      </w:pPr>
      <w:r w:rsidRPr="002E5B82">
        <w:rPr>
          <w:rFonts w:ascii="Arial" w:eastAsia="Times New Roman" w:hAnsi="Arial" w:cs="Arial"/>
          <w:b/>
          <w:bCs/>
          <w:color w:val="323232"/>
          <w:sz w:val="21"/>
          <w:szCs w:val="21"/>
          <w:lang w:eastAsia="tr-TR"/>
        </w:rPr>
        <w:t>Değerli Katılımcılar,</w:t>
      </w:r>
    </w:p>
    <w:p w:rsidR="002E5B82" w:rsidRPr="002E5B82" w:rsidRDefault="002E5B82" w:rsidP="002E5B82">
      <w:pPr>
        <w:spacing w:after="100" w:afterAutospacing="1" w:line="375" w:lineRule="atLeast"/>
        <w:jc w:val="both"/>
        <w:rPr>
          <w:rFonts w:ascii="Arial" w:eastAsia="Times New Roman" w:hAnsi="Arial" w:cs="Arial"/>
          <w:color w:val="323232"/>
          <w:sz w:val="21"/>
          <w:szCs w:val="21"/>
          <w:lang w:eastAsia="tr-TR"/>
        </w:rPr>
      </w:pPr>
      <w:r w:rsidRPr="002E5B82">
        <w:rPr>
          <w:rFonts w:ascii="Arial" w:eastAsia="Times New Roman" w:hAnsi="Arial" w:cs="Arial"/>
          <w:color w:val="323232"/>
          <w:sz w:val="21"/>
          <w:szCs w:val="21"/>
          <w:lang w:eastAsia="tr-TR"/>
        </w:rPr>
        <w:t>Anayasa Mahkemesi silahların eşitliği ilkesini adil yargılanma hakkının bir unsuru olarak kabul etmektedir. Bilindiği üzere bu ilke Anayasa’da lafzen geçmemektedir. Ancak 2001 yılında yapılan Anayasa değişikliğiyle Anayasa’nın “</w:t>
      </w:r>
      <w:r w:rsidRPr="002E5B82">
        <w:rPr>
          <w:rFonts w:ascii="Arial" w:eastAsia="Times New Roman" w:hAnsi="Arial" w:cs="Arial"/>
          <w:i/>
          <w:iCs/>
          <w:color w:val="323232"/>
          <w:sz w:val="21"/>
          <w:szCs w:val="21"/>
          <w:lang w:eastAsia="tr-TR"/>
        </w:rPr>
        <w:t>Hak arama hürriyeti</w:t>
      </w:r>
      <w:r w:rsidRPr="002E5B82">
        <w:rPr>
          <w:rFonts w:ascii="Arial" w:eastAsia="Times New Roman" w:hAnsi="Arial" w:cs="Arial"/>
          <w:color w:val="323232"/>
          <w:sz w:val="21"/>
          <w:szCs w:val="21"/>
          <w:lang w:eastAsia="tr-TR"/>
        </w:rPr>
        <w:t>” kenar başlıklı 36. maddesine “adil yargılanma hakkı” kavramı da eklenmiştir.</w:t>
      </w:r>
    </w:p>
    <w:p w:rsidR="002E5B82" w:rsidRPr="002E5B82" w:rsidRDefault="002E5B82" w:rsidP="002E5B82">
      <w:pPr>
        <w:spacing w:after="100" w:afterAutospacing="1" w:line="375" w:lineRule="atLeast"/>
        <w:jc w:val="both"/>
        <w:rPr>
          <w:rFonts w:ascii="Arial" w:eastAsia="Times New Roman" w:hAnsi="Arial" w:cs="Arial"/>
          <w:color w:val="323232"/>
          <w:sz w:val="21"/>
          <w:szCs w:val="21"/>
          <w:lang w:eastAsia="tr-TR"/>
        </w:rPr>
      </w:pPr>
      <w:r w:rsidRPr="002E5B82">
        <w:rPr>
          <w:rFonts w:ascii="Arial" w:eastAsia="Times New Roman" w:hAnsi="Arial" w:cs="Arial"/>
          <w:color w:val="323232"/>
          <w:sz w:val="21"/>
          <w:szCs w:val="21"/>
          <w:lang w:eastAsia="tr-TR"/>
        </w:rPr>
        <w:t>Anayasa Mahkemesi bu değişiklikten sonra norm denetiminde verdiği bir kararda, kamu idare ve kuruluşları ile davanın diğer tarafını teşkil eden kişi ve kuruluşlar arasında temyiz süresi bakımından farklı düzenlemeler öngören bir kuralı silahların eşitliği ilkesine aykırı bulmuştur. Mahkemeye göre silahların eşitliği ilkesi “</w:t>
      </w:r>
      <w:r w:rsidRPr="002E5B82">
        <w:rPr>
          <w:rFonts w:ascii="Arial" w:eastAsia="Times New Roman" w:hAnsi="Arial" w:cs="Arial"/>
          <w:i/>
          <w:iCs/>
          <w:color w:val="323232"/>
          <w:sz w:val="21"/>
          <w:szCs w:val="21"/>
          <w:lang w:eastAsia="tr-TR"/>
        </w:rPr>
        <w:t>Davanın tarafları arasında yargılama sırasında usul hükümleri yönünden eşit konumda bulunma, taraflardan birine dezavantaj diğerine avantaj sağlayacak kurallara yer vermeme esasını öngörmekte, diğer bir deyişle davanın tarafları arasında hakkaniyete uygun bir dengenin varlığını gerekli kılmaktadır</w:t>
      </w:r>
      <w:r w:rsidRPr="002E5B82">
        <w:rPr>
          <w:rFonts w:ascii="Arial" w:eastAsia="Times New Roman" w:hAnsi="Arial" w:cs="Arial"/>
          <w:color w:val="323232"/>
          <w:sz w:val="21"/>
          <w:szCs w:val="21"/>
          <w:lang w:eastAsia="tr-TR"/>
        </w:rPr>
        <w:t>.”</w:t>
      </w:r>
      <w:r w:rsidR="007D35A9">
        <w:rPr>
          <w:rStyle w:val="DipnotBavurusu"/>
          <w:rFonts w:ascii="Arial" w:eastAsia="Times New Roman" w:hAnsi="Arial" w:cs="Arial"/>
          <w:color w:val="323232"/>
          <w:sz w:val="21"/>
          <w:szCs w:val="21"/>
          <w:lang w:eastAsia="tr-TR"/>
        </w:rPr>
        <w:footnoteReference w:id="9"/>
      </w:r>
      <w:r w:rsidR="007D35A9" w:rsidRPr="002E5B82">
        <w:rPr>
          <w:rFonts w:ascii="Arial" w:eastAsia="Times New Roman" w:hAnsi="Arial" w:cs="Arial"/>
          <w:color w:val="323232"/>
          <w:sz w:val="21"/>
          <w:szCs w:val="21"/>
          <w:lang w:eastAsia="tr-TR"/>
        </w:rPr>
        <w:t xml:space="preserve"> </w:t>
      </w:r>
    </w:p>
    <w:p w:rsidR="002E5B82" w:rsidRPr="002E5B82" w:rsidRDefault="002E5B82" w:rsidP="002E5B82">
      <w:pPr>
        <w:spacing w:after="100" w:afterAutospacing="1" w:line="375" w:lineRule="atLeast"/>
        <w:jc w:val="both"/>
        <w:rPr>
          <w:rFonts w:ascii="Arial" w:eastAsia="Times New Roman" w:hAnsi="Arial" w:cs="Arial"/>
          <w:color w:val="323232"/>
          <w:sz w:val="21"/>
          <w:szCs w:val="21"/>
          <w:lang w:eastAsia="tr-TR"/>
        </w:rPr>
      </w:pPr>
      <w:r w:rsidRPr="002E5B82">
        <w:rPr>
          <w:rFonts w:ascii="Arial" w:eastAsia="Times New Roman" w:hAnsi="Arial" w:cs="Arial"/>
          <w:color w:val="323232"/>
          <w:sz w:val="21"/>
          <w:szCs w:val="21"/>
          <w:lang w:eastAsia="tr-TR"/>
        </w:rPr>
        <w:t>Mahkememiz, bireysel başvurunun hukuk sistemimize girişinden itibaren silahların eşitliği ilkesinin farklı boyutlarını karara bağlamıştır.</w:t>
      </w:r>
      <w:r w:rsidR="007D35A9">
        <w:rPr>
          <w:rStyle w:val="DipnotBavurusu"/>
          <w:rFonts w:ascii="Arial" w:eastAsia="Times New Roman" w:hAnsi="Arial" w:cs="Arial"/>
          <w:color w:val="323232"/>
          <w:sz w:val="21"/>
          <w:szCs w:val="21"/>
          <w:lang w:eastAsia="tr-TR"/>
        </w:rPr>
        <w:footnoteReference w:id="10"/>
      </w:r>
      <w:r w:rsidRPr="002E5B82">
        <w:rPr>
          <w:rFonts w:ascii="Arial" w:eastAsia="Times New Roman" w:hAnsi="Arial" w:cs="Arial"/>
          <w:color w:val="323232"/>
          <w:sz w:val="21"/>
          <w:szCs w:val="21"/>
          <w:lang w:eastAsia="tr-TR"/>
        </w:rPr>
        <w:t> Anayasa Mahkemesi yargılamanın tüm aşamalarında silahların eşitliği ilkesinin güvence altına alınarak adil yargılanma hakkının korunması gerektiğini zira bunun “</w:t>
      </w:r>
      <w:r w:rsidRPr="002E5B82">
        <w:rPr>
          <w:rFonts w:ascii="Arial" w:eastAsia="Times New Roman" w:hAnsi="Arial" w:cs="Arial"/>
          <w:i/>
          <w:iCs/>
          <w:color w:val="323232"/>
          <w:sz w:val="21"/>
          <w:szCs w:val="21"/>
          <w:lang w:eastAsia="tr-TR"/>
        </w:rPr>
        <w:t>hukuk devleti olmanın bir gereği</w:t>
      </w:r>
      <w:r w:rsidRPr="002E5B82">
        <w:rPr>
          <w:rFonts w:ascii="Arial" w:eastAsia="Times New Roman" w:hAnsi="Arial" w:cs="Arial"/>
          <w:color w:val="323232"/>
          <w:sz w:val="21"/>
          <w:szCs w:val="21"/>
          <w:lang w:eastAsia="tr-TR"/>
        </w:rPr>
        <w:t>” olduğunu vurgulamıştır.</w:t>
      </w:r>
      <w:r w:rsidR="007D35A9">
        <w:rPr>
          <w:rStyle w:val="DipnotBavurusu"/>
          <w:rFonts w:ascii="Arial" w:eastAsia="Times New Roman" w:hAnsi="Arial" w:cs="Arial"/>
          <w:color w:val="323232"/>
          <w:sz w:val="21"/>
          <w:szCs w:val="21"/>
          <w:lang w:eastAsia="tr-TR"/>
        </w:rPr>
        <w:footnoteReference w:id="11"/>
      </w:r>
      <w:r w:rsidRPr="002E5B82">
        <w:rPr>
          <w:rFonts w:ascii="Arial" w:eastAsia="Times New Roman" w:hAnsi="Arial" w:cs="Arial"/>
          <w:color w:val="323232"/>
          <w:sz w:val="21"/>
          <w:szCs w:val="21"/>
          <w:lang w:eastAsia="tr-TR"/>
        </w:rPr>
        <w:t> Mahkemeye göre silahların eşitliği ilkesinin sağladığı “</w:t>
      </w:r>
      <w:r w:rsidRPr="002E5B82">
        <w:rPr>
          <w:rFonts w:ascii="Arial" w:eastAsia="Times New Roman" w:hAnsi="Arial" w:cs="Arial"/>
          <w:i/>
          <w:iCs/>
          <w:color w:val="323232"/>
          <w:sz w:val="21"/>
          <w:szCs w:val="21"/>
          <w:lang w:eastAsia="tr-TR"/>
        </w:rPr>
        <w:t>Usul güvencesi gereğince uyuşmazlığın her iki tarafına da savunmasının temel dayanağı olan delilleri sunma imkânı tanınmalıdır</w:t>
      </w:r>
      <w:r w:rsidRPr="002E5B82">
        <w:rPr>
          <w:rFonts w:ascii="Arial" w:eastAsia="Times New Roman" w:hAnsi="Arial" w:cs="Arial"/>
          <w:color w:val="323232"/>
          <w:sz w:val="21"/>
          <w:szCs w:val="21"/>
          <w:lang w:eastAsia="tr-TR"/>
        </w:rPr>
        <w:t>.”</w:t>
      </w:r>
      <w:r w:rsidR="007D35A9">
        <w:rPr>
          <w:rStyle w:val="DipnotBavurusu"/>
          <w:rFonts w:ascii="Arial" w:eastAsia="Times New Roman" w:hAnsi="Arial" w:cs="Arial"/>
          <w:color w:val="323232"/>
          <w:sz w:val="21"/>
          <w:szCs w:val="21"/>
          <w:lang w:eastAsia="tr-TR"/>
        </w:rPr>
        <w:footnoteReference w:id="12"/>
      </w:r>
      <w:r w:rsidR="007D35A9" w:rsidRPr="002E5B82">
        <w:rPr>
          <w:rFonts w:ascii="Arial" w:eastAsia="Times New Roman" w:hAnsi="Arial" w:cs="Arial"/>
          <w:color w:val="323232"/>
          <w:sz w:val="21"/>
          <w:szCs w:val="21"/>
          <w:lang w:eastAsia="tr-TR"/>
        </w:rPr>
        <w:t xml:space="preserve"> </w:t>
      </w:r>
    </w:p>
    <w:p w:rsidR="002E5B82" w:rsidRPr="002E5B82" w:rsidRDefault="002E5B82" w:rsidP="002E5B82">
      <w:pPr>
        <w:spacing w:after="100" w:afterAutospacing="1" w:line="375" w:lineRule="atLeast"/>
        <w:jc w:val="both"/>
        <w:rPr>
          <w:rFonts w:ascii="Arial" w:eastAsia="Times New Roman" w:hAnsi="Arial" w:cs="Arial"/>
          <w:color w:val="323232"/>
          <w:sz w:val="21"/>
          <w:szCs w:val="21"/>
          <w:lang w:eastAsia="tr-TR"/>
        </w:rPr>
      </w:pPr>
      <w:r w:rsidRPr="002E5B82">
        <w:rPr>
          <w:rFonts w:ascii="Arial" w:eastAsia="Times New Roman" w:hAnsi="Arial" w:cs="Arial"/>
          <w:color w:val="323232"/>
          <w:sz w:val="21"/>
          <w:szCs w:val="21"/>
          <w:lang w:eastAsia="tr-TR"/>
        </w:rPr>
        <w:t xml:space="preserve">Bu kapsamda silahların eşitliği ilkesi yargılamada taraflardan birinin sunduğu delillere karşı taraflardan diğerine itiraz etme, görüş açıklama, bu delilleri çürütme ve karşı delil gösterme </w:t>
      </w:r>
      <w:r w:rsidRPr="002E5B82">
        <w:rPr>
          <w:rFonts w:ascii="Arial" w:eastAsia="Times New Roman" w:hAnsi="Arial" w:cs="Arial"/>
          <w:color w:val="323232"/>
          <w:sz w:val="21"/>
          <w:szCs w:val="21"/>
          <w:lang w:eastAsia="tr-TR"/>
        </w:rPr>
        <w:lastRenderedPageBreak/>
        <w:t>hakkının tanınmasını gerektirmektedir.</w:t>
      </w:r>
      <w:r w:rsidR="007D35A9">
        <w:rPr>
          <w:rStyle w:val="DipnotBavurusu"/>
          <w:rFonts w:ascii="Arial" w:eastAsia="Times New Roman" w:hAnsi="Arial" w:cs="Arial"/>
          <w:color w:val="323232"/>
          <w:sz w:val="21"/>
          <w:szCs w:val="21"/>
          <w:lang w:eastAsia="tr-TR"/>
        </w:rPr>
        <w:footnoteReference w:id="13"/>
      </w:r>
      <w:r w:rsidRPr="002E5B82">
        <w:rPr>
          <w:rFonts w:ascii="Arial" w:eastAsia="Times New Roman" w:hAnsi="Arial" w:cs="Arial"/>
          <w:color w:val="323232"/>
          <w:sz w:val="21"/>
          <w:szCs w:val="21"/>
          <w:lang w:eastAsia="tr-TR"/>
        </w:rPr>
        <w:t> Ayrıca Anayasa Mahkemesine göre, dava devam ederken yargılamanın taraflardan birinin lehine sonuçlanmasını sağlayacak şekilde kanun çıkarılması</w:t>
      </w:r>
      <w:r w:rsidR="007D35A9">
        <w:rPr>
          <w:rStyle w:val="DipnotBavurusu"/>
          <w:rFonts w:ascii="Arial" w:eastAsia="Times New Roman" w:hAnsi="Arial" w:cs="Arial"/>
          <w:color w:val="323232"/>
          <w:sz w:val="21"/>
          <w:szCs w:val="21"/>
          <w:lang w:eastAsia="tr-TR"/>
        </w:rPr>
        <w:footnoteReference w:id="14"/>
      </w:r>
      <w:r w:rsidRPr="002E5B82">
        <w:rPr>
          <w:rFonts w:ascii="Arial" w:eastAsia="Times New Roman" w:hAnsi="Arial" w:cs="Arial"/>
          <w:color w:val="323232"/>
          <w:sz w:val="21"/>
          <w:szCs w:val="21"/>
          <w:lang w:eastAsia="tr-TR"/>
        </w:rPr>
        <w:t> yahut davalı idareyle doğrudan bağlantılı bir kuruma bilirkişi incelemesi yaptırılması silahların eşitliğini zedeleyebilir.</w:t>
      </w:r>
      <w:r w:rsidR="007D35A9">
        <w:rPr>
          <w:rStyle w:val="DipnotBavurusu"/>
          <w:rFonts w:ascii="Arial" w:eastAsia="Times New Roman" w:hAnsi="Arial" w:cs="Arial"/>
          <w:color w:val="323232"/>
          <w:sz w:val="21"/>
          <w:szCs w:val="21"/>
          <w:lang w:eastAsia="tr-TR"/>
        </w:rPr>
        <w:footnoteReference w:id="15"/>
      </w:r>
      <w:r w:rsidR="007D35A9" w:rsidRPr="002E5B82">
        <w:rPr>
          <w:rFonts w:ascii="Arial" w:eastAsia="Times New Roman" w:hAnsi="Arial" w:cs="Arial"/>
          <w:color w:val="323232"/>
          <w:sz w:val="21"/>
          <w:szCs w:val="21"/>
          <w:lang w:eastAsia="tr-TR"/>
        </w:rPr>
        <w:t xml:space="preserve"> </w:t>
      </w:r>
    </w:p>
    <w:p w:rsidR="002E5B82" w:rsidRPr="002E5B82" w:rsidRDefault="002E5B82" w:rsidP="002E5B82">
      <w:pPr>
        <w:spacing w:after="100" w:afterAutospacing="1" w:line="375" w:lineRule="atLeast"/>
        <w:jc w:val="both"/>
        <w:rPr>
          <w:rFonts w:ascii="Arial" w:eastAsia="Times New Roman" w:hAnsi="Arial" w:cs="Arial"/>
          <w:color w:val="323232"/>
          <w:sz w:val="21"/>
          <w:szCs w:val="21"/>
          <w:lang w:eastAsia="tr-TR"/>
        </w:rPr>
      </w:pPr>
      <w:r w:rsidRPr="002E5B82">
        <w:rPr>
          <w:rFonts w:ascii="Arial" w:eastAsia="Times New Roman" w:hAnsi="Arial" w:cs="Arial"/>
          <w:color w:val="323232"/>
          <w:sz w:val="21"/>
          <w:szCs w:val="21"/>
          <w:lang w:eastAsia="tr-TR"/>
        </w:rPr>
        <w:t>Belirtmek gerekir ki silahların eşitliği hukuk ve ceza yargılaması ile idari yargılama hukukunda tüm uyuşmazlıklar için geçerli olan bir ilkedir. Bununla birlikte bu ilke, savunmanın iddia makamı karşısında zayıf duruma düşürülmesini önlemeye yönelik olarak en fazla ceza yargılamasında karşımıza çıkmaktadır. Anayasa Mahkemesi kararlarında vurgulandığı üzere silahların eşitliği ilkesi</w:t>
      </w:r>
      <w:r w:rsidRPr="002E5B82">
        <w:rPr>
          <w:rFonts w:ascii="Arial" w:eastAsia="Times New Roman" w:hAnsi="Arial" w:cs="Arial"/>
          <w:i/>
          <w:iCs/>
          <w:color w:val="323232"/>
          <w:sz w:val="21"/>
          <w:szCs w:val="21"/>
          <w:lang w:eastAsia="tr-TR"/>
        </w:rPr>
        <w:t> “ceza yargılamasında sanığın aleyhine bir hukuki durumun” </w:t>
      </w:r>
      <w:r w:rsidRPr="002E5B82">
        <w:rPr>
          <w:rFonts w:ascii="Arial" w:eastAsia="Times New Roman" w:hAnsi="Arial" w:cs="Arial"/>
          <w:color w:val="323232"/>
          <w:sz w:val="21"/>
          <w:szCs w:val="21"/>
          <w:lang w:eastAsia="tr-TR"/>
        </w:rPr>
        <w:t>oluşturulmasına izin vermez.</w:t>
      </w:r>
      <w:r w:rsidR="007D35A9">
        <w:rPr>
          <w:rStyle w:val="DipnotBavurusu"/>
          <w:rFonts w:ascii="Arial" w:eastAsia="Times New Roman" w:hAnsi="Arial" w:cs="Arial"/>
          <w:color w:val="323232"/>
          <w:sz w:val="21"/>
          <w:szCs w:val="21"/>
          <w:lang w:eastAsia="tr-TR"/>
        </w:rPr>
        <w:footnoteReference w:id="16"/>
      </w:r>
      <w:r w:rsidRPr="002E5B82">
        <w:rPr>
          <w:rFonts w:ascii="Arial" w:eastAsia="Times New Roman" w:hAnsi="Arial" w:cs="Arial"/>
          <w:color w:val="323232"/>
          <w:sz w:val="21"/>
          <w:szCs w:val="21"/>
          <w:lang w:eastAsia="tr-TR"/>
        </w:rPr>
        <w:t> Demokratik hukuk devleti ceza yargılamasında savunma hakkının güvenceye alınmasını gerektirmektedir.</w:t>
      </w:r>
      <w:r w:rsidR="007D35A9">
        <w:rPr>
          <w:rStyle w:val="DipnotBavurusu"/>
          <w:rFonts w:ascii="Arial" w:eastAsia="Times New Roman" w:hAnsi="Arial" w:cs="Arial"/>
          <w:color w:val="323232"/>
          <w:sz w:val="21"/>
          <w:szCs w:val="21"/>
          <w:lang w:eastAsia="tr-TR"/>
        </w:rPr>
        <w:footnoteReference w:id="17"/>
      </w:r>
      <w:r w:rsidR="007D35A9" w:rsidRPr="002E5B82">
        <w:rPr>
          <w:rFonts w:ascii="Arial" w:eastAsia="Times New Roman" w:hAnsi="Arial" w:cs="Arial"/>
          <w:color w:val="323232"/>
          <w:sz w:val="21"/>
          <w:szCs w:val="21"/>
          <w:lang w:eastAsia="tr-TR"/>
        </w:rPr>
        <w:t xml:space="preserve"> </w:t>
      </w:r>
    </w:p>
    <w:p w:rsidR="002E5B82" w:rsidRPr="002E5B82" w:rsidRDefault="002E5B82" w:rsidP="002E5B82">
      <w:pPr>
        <w:spacing w:after="100" w:afterAutospacing="1" w:line="375" w:lineRule="atLeast"/>
        <w:jc w:val="both"/>
        <w:rPr>
          <w:rFonts w:ascii="Arial" w:eastAsia="Times New Roman" w:hAnsi="Arial" w:cs="Arial"/>
          <w:color w:val="323232"/>
          <w:sz w:val="21"/>
          <w:szCs w:val="21"/>
          <w:lang w:eastAsia="tr-TR"/>
        </w:rPr>
      </w:pPr>
      <w:r w:rsidRPr="002E5B82">
        <w:rPr>
          <w:rFonts w:ascii="Arial" w:eastAsia="Times New Roman" w:hAnsi="Arial" w:cs="Arial"/>
          <w:b/>
          <w:bCs/>
          <w:color w:val="323232"/>
          <w:sz w:val="21"/>
          <w:szCs w:val="21"/>
          <w:lang w:eastAsia="tr-TR"/>
        </w:rPr>
        <w:t>Değerli Katılımcılar,</w:t>
      </w:r>
    </w:p>
    <w:p w:rsidR="002E5B82" w:rsidRPr="002E5B82" w:rsidRDefault="002E5B82" w:rsidP="002E5B82">
      <w:pPr>
        <w:spacing w:after="100" w:afterAutospacing="1" w:line="375" w:lineRule="atLeast"/>
        <w:jc w:val="both"/>
        <w:rPr>
          <w:rFonts w:ascii="Arial" w:eastAsia="Times New Roman" w:hAnsi="Arial" w:cs="Arial"/>
          <w:color w:val="323232"/>
          <w:sz w:val="21"/>
          <w:szCs w:val="21"/>
          <w:lang w:eastAsia="tr-TR"/>
        </w:rPr>
      </w:pPr>
      <w:r w:rsidRPr="002E5B82">
        <w:rPr>
          <w:rFonts w:ascii="Arial" w:eastAsia="Times New Roman" w:hAnsi="Arial" w:cs="Arial"/>
          <w:color w:val="323232"/>
          <w:sz w:val="21"/>
          <w:szCs w:val="21"/>
          <w:lang w:eastAsia="tr-TR"/>
        </w:rPr>
        <w:t>Adaletin sağlanması onun gerçekleştiğinin görülmesine de bağlıdır. Nitekim Avrupa İnsan Hakları Mahkemesi silahların eşitliği ilkesinin uygulanmasında “</w:t>
      </w:r>
      <w:proofErr w:type="spellStart"/>
      <w:r w:rsidRPr="002E5B82">
        <w:rPr>
          <w:rFonts w:ascii="Arial" w:eastAsia="Times New Roman" w:hAnsi="Arial" w:cs="Arial"/>
          <w:i/>
          <w:iCs/>
          <w:color w:val="323232"/>
          <w:sz w:val="21"/>
          <w:szCs w:val="21"/>
          <w:lang w:eastAsia="tr-TR"/>
        </w:rPr>
        <w:t>görünüm</w:t>
      </w:r>
      <w:r w:rsidRPr="002E5B82">
        <w:rPr>
          <w:rFonts w:ascii="Arial" w:eastAsia="Times New Roman" w:hAnsi="Arial" w:cs="Arial"/>
          <w:color w:val="323232"/>
          <w:sz w:val="21"/>
          <w:szCs w:val="21"/>
          <w:lang w:eastAsia="tr-TR"/>
        </w:rPr>
        <w:t>”ün</w:t>
      </w:r>
      <w:proofErr w:type="spellEnd"/>
      <w:r w:rsidRPr="002E5B82">
        <w:rPr>
          <w:rFonts w:ascii="Arial" w:eastAsia="Times New Roman" w:hAnsi="Arial" w:cs="Arial"/>
          <w:color w:val="323232"/>
          <w:sz w:val="21"/>
          <w:szCs w:val="21"/>
          <w:lang w:eastAsia="tr-TR"/>
        </w:rPr>
        <w:t xml:space="preserve"> de önemli olduğunu vurgulamıştır. Bu kapsamda AİHM, Belçika’da savcılığın organik parçası olmayan ve görevi temyiz aşamasında </w:t>
      </w:r>
      <w:proofErr w:type="spellStart"/>
      <w:r w:rsidRPr="002E5B82">
        <w:rPr>
          <w:rFonts w:ascii="Arial" w:eastAsia="Times New Roman" w:hAnsi="Arial" w:cs="Arial"/>
          <w:color w:val="323232"/>
          <w:sz w:val="21"/>
          <w:szCs w:val="21"/>
          <w:lang w:eastAsia="tr-TR"/>
        </w:rPr>
        <w:t>Yargıtaya</w:t>
      </w:r>
      <w:proofErr w:type="spellEnd"/>
      <w:r w:rsidRPr="002E5B82">
        <w:rPr>
          <w:rFonts w:ascii="Arial" w:eastAsia="Times New Roman" w:hAnsi="Arial" w:cs="Arial"/>
          <w:color w:val="323232"/>
          <w:sz w:val="21"/>
          <w:szCs w:val="21"/>
          <w:lang w:eastAsia="tr-TR"/>
        </w:rPr>
        <w:t xml:space="preserve"> davaya ilişkin hukuki konularda tavsiyelerde bulunmak olan “</w:t>
      </w:r>
      <w:r w:rsidRPr="002E5B82">
        <w:rPr>
          <w:rFonts w:ascii="Arial" w:eastAsia="Times New Roman" w:hAnsi="Arial" w:cs="Arial"/>
          <w:i/>
          <w:iCs/>
          <w:color w:val="323232"/>
          <w:sz w:val="21"/>
          <w:szCs w:val="21"/>
          <w:lang w:eastAsia="tr-TR"/>
        </w:rPr>
        <w:t xml:space="preserve">genel </w:t>
      </w:r>
      <w:proofErr w:type="spellStart"/>
      <w:r w:rsidRPr="002E5B82">
        <w:rPr>
          <w:rFonts w:ascii="Arial" w:eastAsia="Times New Roman" w:hAnsi="Arial" w:cs="Arial"/>
          <w:i/>
          <w:iCs/>
          <w:color w:val="323232"/>
          <w:sz w:val="21"/>
          <w:szCs w:val="21"/>
          <w:lang w:eastAsia="tr-TR"/>
        </w:rPr>
        <w:t>avukat</w:t>
      </w:r>
      <w:r w:rsidRPr="002E5B82">
        <w:rPr>
          <w:rFonts w:ascii="Arial" w:eastAsia="Times New Roman" w:hAnsi="Arial" w:cs="Arial"/>
          <w:color w:val="323232"/>
          <w:sz w:val="21"/>
          <w:szCs w:val="21"/>
          <w:lang w:eastAsia="tr-TR"/>
        </w:rPr>
        <w:t>”ın</w:t>
      </w:r>
      <w:proofErr w:type="spellEnd"/>
      <w:r w:rsidRPr="002E5B82">
        <w:rPr>
          <w:rFonts w:ascii="Arial" w:eastAsia="Times New Roman" w:hAnsi="Arial" w:cs="Arial"/>
          <w:color w:val="323232"/>
          <w:sz w:val="21"/>
          <w:szCs w:val="21"/>
          <w:lang w:eastAsia="tr-TR"/>
        </w:rPr>
        <w:t xml:space="preserve"> (</w:t>
      </w:r>
      <w:proofErr w:type="spellStart"/>
      <w:r w:rsidRPr="002E5B82">
        <w:rPr>
          <w:rFonts w:ascii="Arial" w:eastAsia="Times New Roman" w:hAnsi="Arial" w:cs="Arial"/>
          <w:i/>
          <w:iCs/>
          <w:color w:val="323232"/>
          <w:sz w:val="21"/>
          <w:szCs w:val="21"/>
          <w:lang w:eastAsia="tr-TR"/>
        </w:rPr>
        <w:t>avocat</w:t>
      </w:r>
      <w:proofErr w:type="spellEnd"/>
      <w:r w:rsidRPr="002E5B82">
        <w:rPr>
          <w:rFonts w:ascii="Arial" w:eastAsia="Times New Roman" w:hAnsi="Arial" w:cs="Arial"/>
          <w:i/>
          <w:iCs/>
          <w:color w:val="323232"/>
          <w:sz w:val="21"/>
          <w:szCs w:val="21"/>
          <w:lang w:eastAsia="tr-TR"/>
        </w:rPr>
        <w:t xml:space="preserve"> general</w:t>
      </w:r>
      <w:r w:rsidRPr="002E5B82">
        <w:rPr>
          <w:rFonts w:ascii="Arial" w:eastAsia="Times New Roman" w:hAnsi="Arial" w:cs="Arial"/>
          <w:color w:val="323232"/>
          <w:sz w:val="21"/>
          <w:szCs w:val="21"/>
          <w:lang w:eastAsia="tr-TR"/>
        </w:rPr>
        <w:t>) konumunun silahların eşitliği ilkesine aykırı olduğunu tespit etmiştir. AİHM “</w:t>
      </w:r>
      <w:r w:rsidRPr="002E5B82">
        <w:rPr>
          <w:rFonts w:ascii="Arial" w:eastAsia="Times New Roman" w:hAnsi="Arial" w:cs="Arial"/>
          <w:i/>
          <w:iCs/>
          <w:color w:val="323232"/>
          <w:sz w:val="21"/>
          <w:szCs w:val="21"/>
          <w:lang w:eastAsia="tr-TR"/>
        </w:rPr>
        <w:t>asırlık Belçika uygulamasını geçersiz kılarken”</w:t>
      </w:r>
      <w:r w:rsidR="007D35A9">
        <w:rPr>
          <w:rStyle w:val="DipnotBavurusu"/>
          <w:rFonts w:ascii="Arial" w:eastAsia="Times New Roman" w:hAnsi="Arial" w:cs="Arial"/>
          <w:i/>
          <w:iCs/>
          <w:color w:val="323232"/>
          <w:sz w:val="21"/>
          <w:szCs w:val="21"/>
          <w:lang w:eastAsia="tr-TR"/>
        </w:rPr>
        <w:footnoteReference w:id="18"/>
      </w:r>
      <w:r w:rsidRPr="002E5B82">
        <w:rPr>
          <w:rFonts w:ascii="Arial" w:eastAsia="Times New Roman" w:hAnsi="Arial" w:cs="Arial"/>
          <w:color w:val="323232"/>
          <w:sz w:val="21"/>
          <w:szCs w:val="21"/>
          <w:lang w:eastAsia="tr-TR"/>
        </w:rPr>
        <w:t> bilhassa “</w:t>
      </w:r>
      <w:r w:rsidRPr="002E5B82">
        <w:rPr>
          <w:rFonts w:ascii="Arial" w:eastAsia="Times New Roman" w:hAnsi="Arial" w:cs="Arial"/>
          <w:i/>
          <w:iCs/>
          <w:color w:val="323232"/>
          <w:sz w:val="21"/>
          <w:szCs w:val="21"/>
          <w:lang w:eastAsia="tr-TR"/>
        </w:rPr>
        <w:t xml:space="preserve">genel </w:t>
      </w:r>
      <w:proofErr w:type="spellStart"/>
      <w:r w:rsidRPr="002E5B82">
        <w:rPr>
          <w:rFonts w:ascii="Arial" w:eastAsia="Times New Roman" w:hAnsi="Arial" w:cs="Arial"/>
          <w:i/>
          <w:iCs/>
          <w:color w:val="323232"/>
          <w:sz w:val="21"/>
          <w:szCs w:val="21"/>
          <w:lang w:eastAsia="tr-TR"/>
        </w:rPr>
        <w:t>avukat</w:t>
      </w:r>
      <w:r w:rsidRPr="002E5B82">
        <w:rPr>
          <w:rFonts w:ascii="Arial" w:eastAsia="Times New Roman" w:hAnsi="Arial" w:cs="Arial"/>
          <w:color w:val="323232"/>
          <w:sz w:val="21"/>
          <w:szCs w:val="21"/>
          <w:lang w:eastAsia="tr-TR"/>
        </w:rPr>
        <w:t>”ın</w:t>
      </w:r>
      <w:proofErr w:type="spellEnd"/>
      <w:r w:rsidRPr="002E5B82">
        <w:rPr>
          <w:rFonts w:ascii="Arial" w:eastAsia="Times New Roman" w:hAnsi="Arial" w:cs="Arial"/>
          <w:color w:val="323232"/>
          <w:sz w:val="21"/>
          <w:szCs w:val="21"/>
          <w:lang w:eastAsia="tr-TR"/>
        </w:rPr>
        <w:t xml:space="preserve"> temyiz aşamasında oy kullanmasa bile </w:t>
      </w:r>
      <w:proofErr w:type="spellStart"/>
      <w:r w:rsidRPr="002E5B82">
        <w:rPr>
          <w:rFonts w:ascii="Arial" w:eastAsia="Times New Roman" w:hAnsi="Arial" w:cs="Arial"/>
          <w:color w:val="323232"/>
          <w:sz w:val="21"/>
          <w:szCs w:val="21"/>
          <w:lang w:eastAsia="tr-TR"/>
        </w:rPr>
        <w:t>Yargıtayın</w:t>
      </w:r>
      <w:proofErr w:type="spellEnd"/>
      <w:r w:rsidRPr="002E5B82">
        <w:rPr>
          <w:rFonts w:ascii="Arial" w:eastAsia="Times New Roman" w:hAnsi="Arial" w:cs="Arial"/>
          <w:color w:val="323232"/>
          <w:sz w:val="21"/>
          <w:szCs w:val="21"/>
          <w:lang w:eastAsia="tr-TR"/>
        </w:rPr>
        <w:t xml:space="preserve"> müzakerelerine katılmasını silahların eşitliğinin “</w:t>
      </w:r>
      <w:r w:rsidRPr="002E5B82">
        <w:rPr>
          <w:rFonts w:ascii="Arial" w:eastAsia="Times New Roman" w:hAnsi="Arial" w:cs="Arial"/>
          <w:i/>
          <w:iCs/>
          <w:color w:val="323232"/>
          <w:sz w:val="21"/>
          <w:szCs w:val="21"/>
          <w:lang w:eastAsia="tr-TR"/>
        </w:rPr>
        <w:t>görünümü</w:t>
      </w:r>
      <w:r w:rsidRPr="002E5B82">
        <w:rPr>
          <w:rFonts w:ascii="Arial" w:eastAsia="Times New Roman" w:hAnsi="Arial" w:cs="Arial"/>
          <w:color w:val="323232"/>
          <w:sz w:val="21"/>
          <w:szCs w:val="21"/>
          <w:lang w:eastAsia="tr-TR"/>
        </w:rPr>
        <w:t>” bakımından sakıncalı kabul etmiştir.</w:t>
      </w:r>
      <w:r w:rsidR="007D35A9">
        <w:rPr>
          <w:rStyle w:val="DipnotBavurusu"/>
          <w:rFonts w:ascii="Arial" w:eastAsia="Times New Roman" w:hAnsi="Arial" w:cs="Arial"/>
          <w:color w:val="323232"/>
          <w:sz w:val="21"/>
          <w:szCs w:val="21"/>
          <w:lang w:eastAsia="tr-TR"/>
        </w:rPr>
        <w:footnoteReference w:id="19"/>
      </w:r>
      <w:r w:rsidR="007D35A9" w:rsidRPr="002E5B82">
        <w:rPr>
          <w:rFonts w:ascii="Arial" w:eastAsia="Times New Roman" w:hAnsi="Arial" w:cs="Arial"/>
          <w:color w:val="323232"/>
          <w:sz w:val="21"/>
          <w:szCs w:val="21"/>
          <w:lang w:eastAsia="tr-TR"/>
        </w:rPr>
        <w:t xml:space="preserve"> </w:t>
      </w:r>
    </w:p>
    <w:p w:rsidR="002E5B82" w:rsidRPr="002E5B82" w:rsidRDefault="002E5B82" w:rsidP="002E5B82">
      <w:pPr>
        <w:spacing w:after="100" w:afterAutospacing="1" w:line="375" w:lineRule="atLeast"/>
        <w:jc w:val="both"/>
        <w:rPr>
          <w:rFonts w:ascii="Arial" w:eastAsia="Times New Roman" w:hAnsi="Arial" w:cs="Arial"/>
          <w:color w:val="323232"/>
          <w:sz w:val="21"/>
          <w:szCs w:val="21"/>
          <w:lang w:eastAsia="tr-TR"/>
        </w:rPr>
      </w:pPr>
      <w:r w:rsidRPr="002E5B82">
        <w:rPr>
          <w:rFonts w:ascii="Arial" w:eastAsia="Times New Roman" w:hAnsi="Arial" w:cs="Arial"/>
          <w:color w:val="323232"/>
          <w:sz w:val="21"/>
          <w:szCs w:val="21"/>
          <w:lang w:eastAsia="tr-TR"/>
        </w:rPr>
        <w:t>Öte yandan “</w:t>
      </w:r>
      <w:proofErr w:type="spellStart"/>
      <w:r w:rsidRPr="002E5B82">
        <w:rPr>
          <w:rFonts w:ascii="Arial" w:eastAsia="Times New Roman" w:hAnsi="Arial" w:cs="Arial"/>
          <w:i/>
          <w:iCs/>
          <w:color w:val="323232"/>
          <w:sz w:val="21"/>
          <w:szCs w:val="21"/>
          <w:lang w:eastAsia="tr-TR"/>
        </w:rPr>
        <w:t>görünüm</w:t>
      </w:r>
      <w:r w:rsidRPr="002E5B82">
        <w:rPr>
          <w:rFonts w:ascii="Arial" w:eastAsia="Times New Roman" w:hAnsi="Arial" w:cs="Arial"/>
          <w:color w:val="323232"/>
          <w:sz w:val="21"/>
          <w:szCs w:val="21"/>
          <w:lang w:eastAsia="tr-TR"/>
        </w:rPr>
        <w:t>”e</w:t>
      </w:r>
      <w:proofErr w:type="spellEnd"/>
      <w:r w:rsidRPr="002E5B82">
        <w:rPr>
          <w:rFonts w:ascii="Arial" w:eastAsia="Times New Roman" w:hAnsi="Arial" w:cs="Arial"/>
          <w:color w:val="323232"/>
          <w:sz w:val="21"/>
          <w:szCs w:val="21"/>
          <w:lang w:eastAsia="tr-TR"/>
        </w:rPr>
        <w:t xml:space="preserve"> ilişkin her türlü eşitsizlik silahların eşitliğini ihlal eder nitelikte görülmemiştir. Örneğin ülkemiz yargı pratiğinde de çok tartışılan savcının duruşma salonunda savunmadan daha yüksekte ve hâkimlere yakın oturması silahların eşitliği ilkesine aykırı bulunmamıştır. </w:t>
      </w:r>
      <w:proofErr w:type="spellStart"/>
      <w:r w:rsidRPr="002E5B82">
        <w:rPr>
          <w:rFonts w:ascii="Arial" w:eastAsia="Times New Roman" w:hAnsi="Arial" w:cs="Arial"/>
          <w:color w:val="323232"/>
          <w:sz w:val="21"/>
          <w:szCs w:val="21"/>
          <w:lang w:eastAsia="tr-TR"/>
        </w:rPr>
        <w:t>AİHM’e</w:t>
      </w:r>
      <w:proofErr w:type="spellEnd"/>
      <w:r w:rsidRPr="002E5B82">
        <w:rPr>
          <w:rFonts w:ascii="Arial" w:eastAsia="Times New Roman" w:hAnsi="Arial" w:cs="Arial"/>
          <w:color w:val="323232"/>
          <w:sz w:val="21"/>
          <w:szCs w:val="21"/>
          <w:lang w:eastAsia="tr-TR"/>
        </w:rPr>
        <w:t xml:space="preserve"> göre söz konusu oturma düzeni, savunma karşısında savcıya “</w:t>
      </w:r>
      <w:proofErr w:type="spellStart"/>
      <w:r w:rsidRPr="002E5B82">
        <w:rPr>
          <w:rFonts w:ascii="Arial" w:eastAsia="Times New Roman" w:hAnsi="Arial" w:cs="Arial"/>
          <w:i/>
          <w:iCs/>
          <w:color w:val="323232"/>
          <w:sz w:val="21"/>
          <w:szCs w:val="21"/>
          <w:lang w:eastAsia="tr-TR"/>
        </w:rPr>
        <w:t>fiziken</w:t>
      </w:r>
      <w:proofErr w:type="spellEnd"/>
      <w:r w:rsidRPr="002E5B82">
        <w:rPr>
          <w:rFonts w:ascii="Arial" w:eastAsia="Times New Roman" w:hAnsi="Arial" w:cs="Arial"/>
          <w:color w:val="323232"/>
          <w:sz w:val="21"/>
          <w:szCs w:val="21"/>
          <w:lang w:eastAsia="tr-TR"/>
        </w:rPr>
        <w:t>” ayrıcalıklı bir konum sağlasa da duruşma sırasında savunmayı dezavantajlı hâle getirmemektedir.</w:t>
      </w:r>
      <w:r w:rsidR="007D35A9">
        <w:rPr>
          <w:rStyle w:val="DipnotBavurusu"/>
          <w:rFonts w:ascii="Arial" w:eastAsia="Times New Roman" w:hAnsi="Arial" w:cs="Arial"/>
          <w:color w:val="323232"/>
          <w:sz w:val="21"/>
          <w:szCs w:val="21"/>
          <w:lang w:eastAsia="tr-TR"/>
        </w:rPr>
        <w:footnoteReference w:id="20"/>
      </w:r>
      <w:r w:rsidR="007D35A9" w:rsidRPr="002E5B82">
        <w:rPr>
          <w:rFonts w:ascii="Arial" w:eastAsia="Times New Roman" w:hAnsi="Arial" w:cs="Arial"/>
          <w:color w:val="323232"/>
          <w:sz w:val="21"/>
          <w:szCs w:val="21"/>
          <w:lang w:eastAsia="tr-TR"/>
        </w:rPr>
        <w:t xml:space="preserve"> </w:t>
      </w:r>
    </w:p>
    <w:p w:rsidR="002E5B82" w:rsidRPr="002E5B82" w:rsidRDefault="002E5B82" w:rsidP="002E5B82">
      <w:pPr>
        <w:spacing w:after="100" w:afterAutospacing="1" w:line="375" w:lineRule="atLeast"/>
        <w:jc w:val="both"/>
        <w:rPr>
          <w:rFonts w:ascii="Arial" w:eastAsia="Times New Roman" w:hAnsi="Arial" w:cs="Arial"/>
          <w:color w:val="323232"/>
          <w:sz w:val="21"/>
          <w:szCs w:val="21"/>
          <w:lang w:eastAsia="tr-TR"/>
        </w:rPr>
      </w:pPr>
      <w:r w:rsidRPr="002E5B82">
        <w:rPr>
          <w:rFonts w:ascii="Arial" w:eastAsia="Times New Roman" w:hAnsi="Arial" w:cs="Arial"/>
          <w:color w:val="323232"/>
          <w:sz w:val="21"/>
          <w:szCs w:val="21"/>
          <w:lang w:eastAsia="tr-TR"/>
        </w:rPr>
        <w:lastRenderedPageBreak/>
        <w:t>Bu noktada belirtmek gerekir ki Anayasa Mahkemesi aynı zamanda Yüce Divan duruşmalarının da yapıldığı bu salonda iddia makamını ve savunmayı oturma düzeni bakımından da eşitlemiştir. Aynı şekilde müdafi isterse duruşmada sanığın yanında oturabilmektedir.</w:t>
      </w:r>
    </w:p>
    <w:p w:rsidR="002E5B82" w:rsidRPr="002E5B82" w:rsidRDefault="002E5B82" w:rsidP="002E5B82">
      <w:pPr>
        <w:spacing w:after="100" w:afterAutospacing="1" w:line="375" w:lineRule="atLeast"/>
        <w:jc w:val="both"/>
        <w:rPr>
          <w:rFonts w:ascii="Arial" w:eastAsia="Times New Roman" w:hAnsi="Arial" w:cs="Arial"/>
          <w:color w:val="323232"/>
          <w:sz w:val="21"/>
          <w:szCs w:val="21"/>
          <w:lang w:eastAsia="tr-TR"/>
        </w:rPr>
      </w:pPr>
      <w:r w:rsidRPr="002E5B82">
        <w:rPr>
          <w:rFonts w:ascii="Arial" w:eastAsia="Times New Roman" w:hAnsi="Arial" w:cs="Arial"/>
          <w:b/>
          <w:bCs/>
          <w:color w:val="323232"/>
          <w:sz w:val="21"/>
          <w:szCs w:val="21"/>
          <w:lang w:eastAsia="tr-TR"/>
        </w:rPr>
        <w:t>Değerli Konuklar,</w:t>
      </w:r>
    </w:p>
    <w:p w:rsidR="002E5B82" w:rsidRPr="002E5B82" w:rsidRDefault="002E5B82" w:rsidP="002E5B82">
      <w:pPr>
        <w:spacing w:after="100" w:afterAutospacing="1" w:line="375" w:lineRule="atLeast"/>
        <w:jc w:val="both"/>
        <w:rPr>
          <w:rFonts w:ascii="Arial" w:eastAsia="Times New Roman" w:hAnsi="Arial" w:cs="Arial"/>
          <w:color w:val="323232"/>
          <w:sz w:val="21"/>
          <w:szCs w:val="21"/>
          <w:lang w:eastAsia="tr-TR"/>
        </w:rPr>
      </w:pPr>
      <w:r w:rsidRPr="002E5B82">
        <w:rPr>
          <w:rFonts w:ascii="Arial" w:eastAsia="Times New Roman" w:hAnsi="Arial" w:cs="Arial"/>
          <w:b/>
          <w:bCs/>
          <w:color w:val="323232"/>
          <w:sz w:val="21"/>
          <w:szCs w:val="21"/>
          <w:lang w:eastAsia="tr-TR"/>
        </w:rPr>
        <w:t>Saygıdeğer Katılımcılar,</w:t>
      </w:r>
    </w:p>
    <w:p w:rsidR="002E5B82" w:rsidRPr="002E5B82" w:rsidRDefault="002E5B82" w:rsidP="002E5B82">
      <w:pPr>
        <w:spacing w:after="100" w:afterAutospacing="1" w:line="375" w:lineRule="atLeast"/>
        <w:jc w:val="both"/>
        <w:rPr>
          <w:rFonts w:ascii="Arial" w:eastAsia="Times New Roman" w:hAnsi="Arial" w:cs="Arial"/>
          <w:color w:val="323232"/>
          <w:sz w:val="21"/>
          <w:szCs w:val="21"/>
          <w:lang w:eastAsia="tr-TR"/>
        </w:rPr>
      </w:pPr>
      <w:r w:rsidRPr="002E5B82">
        <w:rPr>
          <w:rFonts w:ascii="Arial" w:eastAsia="Times New Roman" w:hAnsi="Arial" w:cs="Arial"/>
          <w:color w:val="323232"/>
          <w:sz w:val="21"/>
          <w:szCs w:val="21"/>
          <w:lang w:eastAsia="tr-TR"/>
        </w:rPr>
        <w:t>Hukuk devletinin olmazsa olmaz unsurlarından biri yargılamanın hakkaniyete uygun olarak yapılmasıdır. Yargılamanın makul sürede sonuçlandırılmasından silahların eşitliği ve çelişmeli yargılama ilkelerine kadar adil yargılanma hakkının tüm unsurlarıyla korunması gerekmektedir.</w:t>
      </w:r>
    </w:p>
    <w:p w:rsidR="002E5B82" w:rsidRPr="002E5B82" w:rsidRDefault="002E5B82" w:rsidP="002E5B82">
      <w:pPr>
        <w:spacing w:after="100" w:afterAutospacing="1" w:line="375" w:lineRule="atLeast"/>
        <w:jc w:val="both"/>
        <w:rPr>
          <w:rFonts w:ascii="Arial" w:eastAsia="Times New Roman" w:hAnsi="Arial" w:cs="Arial"/>
          <w:color w:val="323232"/>
          <w:sz w:val="21"/>
          <w:szCs w:val="21"/>
          <w:lang w:eastAsia="tr-TR"/>
        </w:rPr>
      </w:pPr>
      <w:r w:rsidRPr="002E5B82">
        <w:rPr>
          <w:rFonts w:ascii="Arial" w:eastAsia="Times New Roman" w:hAnsi="Arial" w:cs="Arial"/>
          <w:color w:val="323232"/>
          <w:sz w:val="21"/>
          <w:szCs w:val="21"/>
          <w:lang w:eastAsia="tr-TR"/>
        </w:rPr>
        <w:t>Bu noktada bireysel başvuru istatistiklerinin endişe verici olduğunu üzülerek belirtmek isterim. Bireysel başvurunun uygulamaya başlandığı 23 Eylül 2012 tarihinden itibaren yapılan başvuruların büyük bir kısmı adil yargılanma hakkına ilişkindir. Mahkememize 2021 yılında yapılan 66 bin civarında başvurunun %73’ten fazlasında adil yargılanma hakkının ihlal edildiği şikâyeti bulunmaktadır. 2012 yılından bu yana verilen toplam ihlal kararları içinde de adil yargılanma hakkı ihlali yaklaşık %77 ile birinci sıradadır.</w:t>
      </w:r>
    </w:p>
    <w:p w:rsidR="002E5B82" w:rsidRPr="002E5B82" w:rsidRDefault="002E5B82" w:rsidP="002E5B82">
      <w:pPr>
        <w:spacing w:after="100" w:afterAutospacing="1" w:line="375" w:lineRule="atLeast"/>
        <w:jc w:val="both"/>
        <w:rPr>
          <w:rFonts w:ascii="Arial" w:eastAsia="Times New Roman" w:hAnsi="Arial" w:cs="Arial"/>
          <w:color w:val="323232"/>
          <w:sz w:val="21"/>
          <w:szCs w:val="21"/>
          <w:lang w:eastAsia="tr-TR"/>
        </w:rPr>
      </w:pPr>
      <w:r w:rsidRPr="002E5B82">
        <w:rPr>
          <w:rFonts w:ascii="Arial" w:eastAsia="Times New Roman" w:hAnsi="Arial" w:cs="Arial"/>
          <w:color w:val="323232"/>
          <w:sz w:val="21"/>
          <w:szCs w:val="21"/>
          <w:lang w:eastAsia="tr-TR"/>
        </w:rPr>
        <w:t>Bu sayı ve oranlar bize adil yargılanma hakkı konusunda önemli bir meselemiz olduğunu söylüyor. Bu sebeple Anayasa Mahkemesinin ihlal kararlarında belirtilen gerekçelerin idari ve yargısal mercilerimiz tarafından gereği gibi değerlendirilmesi, yeni ihlallerin önlenmesine yönelik gerekli adımların vakit kaybetmeden atılması zorunluluğu bulunmaktadır.</w:t>
      </w:r>
    </w:p>
    <w:p w:rsidR="002E5B82" w:rsidRPr="002E5B82" w:rsidRDefault="002E5B82" w:rsidP="002E5B82">
      <w:pPr>
        <w:spacing w:after="100" w:afterAutospacing="1" w:line="375" w:lineRule="atLeast"/>
        <w:jc w:val="both"/>
        <w:rPr>
          <w:rFonts w:ascii="Arial" w:eastAsia="Times New Roman" w:hAnsi="Arial" w:cs="Arial"/>
          <w:color w:val="323232"/>
          <w:sz w:val="21"/>
          <w:szCs w:val="21"/>
          <w:lang w:eastAsia="tr-TR"/>
        </w:rPr>
      </w:pPr>
      <w:r w:rsidRPr="002E5B82">
        <w:rPr>
          <w:rFonts w:ascii="Arial" w:eastAsia="Times New Roman" w:hAnsi="Arial" w:cs="Arial"/>
          <w:color w:val="323232"/>
          <w:sz w:val="21"/>
          <w:szCs w:val="21"/>
          <w:lang w:eastAsia="tr-TR"/>
        </w:rPr>
        <w:t>Bu duygu ve düşüncelerle sizleri bir kez daha saygıyla selamlıyor, programın başarılı ve verimli geçmesini temenni ediyorum.</w:t>
      </w:r>
    </w:p>
    <w:p w:rsidR="002E5B82" w:rsidRPr="002E5B82" w:rsidRDefault="002E5B82" w:rsidP="002E5B82">
      <w:pPr>
        <w:spacing w:after="100" w:afterAutospacing="1" w:line="375" w:lineRule="atLeast"/>
        <w:jc w:val="both"/>
        <w:rPr>
          <w:rFonts w:ascii="Arial" w:eastAsia="Times New Roman" w:hAnsi="Arial" w:cs="Arial"/>
          <w:color w:val="323232"/>
          <w:sz w:val="21"/>
          <w:szCs w:val="21"/>
          <w:lang w:eastAsia="tr-TR"/>
        </w:rPr>
      </w:pPr>
      <w:r w:rsidRPr="002E5B82">
        <w:rPr>
          <w:rFonts w:ascii="Arial" w:eastAsia="Times New Roman" w:hAnsi="Arial" w:cs="Arial"/>
          <w:color w:val="323232"/>
          <w:sz w:val="21"/>
          <w:szCs w:val="21"/>
          <w:lang w:eastAsia="tr-TR"/>
        </w:rPr>
        <w:t>Hepinize sağlık ve afiyet diliyorum.</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2E5B82" w:rsidRPr="002E5B82" w:rsidTr="002E5B82">
        <w:trPr>
          <w:trHeight w:val="225"/>
          <w:jc w:val="right"/>
        </w:trPr>
        <w:tc>
          <w:tcPr>
            <w:tcW w:w="0" w:type="auto"/>
            <w:vAlign w:val="center"/>
            <w:hideMark/>
          </w:tcPr>
          <w:p w:rsidR="002E5B82" w:rsidRPr="002E5B82" w:rsidRDefault="002E5B82" w:rsidP="002E5B82">
            <w:pPr>
              <w:spacing w:after="0" w:line="240" w:lineRule="auto"/>
              <w:jc w:val="center"/>
              <w:rPr>
                <w:rFonts w:ascii="Times New Roman" w:eastAsia="Times New Roman" w:hAnsi="Times New Roman" w:cs="Times New Roman"/>
                <w:color w:val="424242"/>
                <w:sz w:val="24"/>
                <w:szCs w:val="24"/>
                <w:lang w:eastAsia="tr-TR"/>
              </w:rPr>
            </w:pPr>
            <w:r w:rsidRPr="002E5B82">
              <w:rPr>
                <w:rFonts w:ascii="Times New Roman" w:eastAsia="Times New Roman" w:hAnsi="Times New Roman" w:cs="Times New Roman"/>
                <w:b/>
                <w:bCs/>
                <w:color w:val="424242"/>
                <w:sz w:val="24"/>
                <w:szCs w:val="24"/>
                <w:lang w:eastAsia="tr-TR"/>
              </w:rPr>
              <w:t>Zühtü ARSLAN</w:t>
            </w:r>
          </w:p>
        </w:tc>
      </w:tr>
      <w:tr w:rsidR="002E5B82" w:rsidRPr="002E5B82" w:rsidTr="002E5B82">
        <w:trPr>
          <w:trHeight w:val="225"/>
          <w:jc w:val="right"/>
        </w:trPr>
        <w:tc>
          <w:tcPr>
            <w:tcW w:w="0" w:type="auto"/>
            <w:vAlign w:val="center"/>
            <w:hideMark/>
          </w:tcPr>
          <w:p w:rsidR="002E5B82" w:rsidRPr="002E5B82" w:rsidRDefault="002E5B82" w:rsidP="002E5B82">
            <w:pPr>
              <w:spacing w:after="0" w:line="240" w:lineRule="auto"/>
              <w:jc w:val="center"/>
              <w:rPr>
                <w:rFonts w:ascii="Times New Roman" w:eastAsia="Times New Roman" w:hAnsi="Times New Roman" w:cs="Times New Roman"/>
                <w:color w:val="424242"/>
                <w:sz w:val="24"/>
                <w:szCs w:val="24"/>
                <w:lang w:eastAsia="tr-TR"/>
              </w:rPr>
            </w:pPr>
            <w:r w:rsidRPr="002E5B82">
              <w:rPr>
                <w:rFonts w:ascii="Times New Roman" w:eastAsia="Times New Roman" w:hAnsi="Times New Roman" w:cs="Times New Roman"/>
                <w:b/>
                <w:bCs/>
                <w:color w:val="424242"/>
                <w:sz w:val="24"/>
                <w:szCs w:val="24"/>
                <w:lang w:eastAsia="tr-TR"/>
              </w:rPr>
              <w:t>Anayasa Mahkemesi Başkanı</w:t>
            </w:r>
          </w:p>
        </w:tc>
      </w:tr>
    </w:tbl>
    <w:p w:rsidR="002E5B82" w:rsidRPr="002E5B82" w:rsidRDefault="002E5B82" w:rsidP="007D35A9">
      <w:pPr>
        <w:spacing w:after="100" w:afterAutospacing="1" w:line="375" w:lineRule="atLeast"/>
        <w:jc w:val="both"/>
        <w:rPr>
          <w:rFonts w:ascii="Times New Roman" w:eastAsia="Times New Roman" w:hAnsi="Times New Roman" w:cs="Times New Roman"/>
          <w:sz w:val="24"/>
          <w:szCs w:val="24"/>
          <w:lang w:eastAsia="tr-TR"/>
        </w:rPr>
      </w:pPr>
      <w:bookmarkStart w:id="1" w:name="_GoBack"/>
      <w:bookmarkEnd w:id="1"/>
      <w:r w:rsidRPr="002E5B82">
        <w:rPr>
          <w:rFonts w:ascii="Arial" w:eastAsia="Times New Roman" w:hAnsi="Arial" w:cs="Arial"/>
          <w:color w:val="323232"/>
          <w:sz w:val="21"/>
          <w:szCs w:val="21"/>
          <w:lang w:eastAsia="tr-TR"/>
        </w:rPr>
        <w:t> </w:t>
      </w:r>
      <w:r w:rsidR="00CA3635">
        <w:rPr>
          <w:rFonts w:ascii="Times New Roman" w:eastAsia="Times New Roman" w:hAnsi="Times New Roman" w:cs="Times New Roman"/>
          <w:sz w:val="24"/>
          <w:szCs w:val="24"/>
          <w:lang w:eastAsia="tr-TR"/>
        </w:rPr>
        <w:pict>
          <v:rect id="_x0000_i1025" style="width:0;height:0" o:hrstd="t" o:hrnoshade="t" o:hr="t" fillcolor="#424242" stroked="f"/>
        </w:pict>
      </w:r>
    </w:p>
    <w:p w:rsidR="002E5B82" w:rsidRPr="002E5B82" w:rsidRDefault="002E5B82" w:rsidP="002E5B82">
      <w:pPr>
        <w:spacing w:after="100" w:afterAutospacing="1" w:line="375" w:lineRule="atLeast"/>
        <w:jc w:val="both"/>
        <w:rPr>
          <w:rFonts w:ascii="Arial" w:eastAsia="Times New Roman" w:hAnsi="Arial" w:cs="Arial"/>
          <w:color w:val="323232"/>
          <w:sz w:val="21"/>
          <w:szCs w:val="21"/>
          <w:lang w:eastAsia="tr-TR"/>
        </w:rPr>
      </w:pPr>
      <w:r w:rsidRPr="002E5B82">
        <w:rPr>
          <w:rFonts w:ascii="Arial" w:eastAsia="Times New Roman" w:hAnsi="Arial" w:cs="Arial"/>
          <w:color w:val="323232"/>
          <w:sz w:val="21"/>
          <w:szCs w:val="21"/>
          <w:lang w:eastAsia="tr-TR"/>
        </w:rPr>
        <w:t> </w:t>
      </w:r>
    </w:p>
    <w:bookmarkStart w:id="2" w:name="_ftn0"/>
    <w:p w:rsidR="002E5B82" w:rsidRPr="002E5B82" w:rsidRDefault="002E5B82" w:rsidP="002E5B82">
      <w:pPr>
        <w:spacing w:after="100" w:afterAutospacing="1" w:line="375" w:lineRule="atLeast"/>
        <w:jc w:val="both"/>
        <w:rPr>
          <w:rFonts w:ascii="Arial" w:eastAsia="Times New Roman" w:hAnsi="Arial" w:cs="Arial"/>
          <w:color w:val="323232"/>
          <w:sz w:val="21"/>
          <w:szCs w:val="21"/>
          <w:lang w:eastAsia="tr-TR"/>
        </w:rPr>
      </w:pPr>
      <w:r w:rsidRPr="002E5B82">
        <w:rPr>
          <w:rFonts w:ascii="Arial" w:eastAsia="Times New Roman" w:hAnsi="Arial" w:cs="Arial"/>
          <w:color w:val="323232"/>
          <w:sz w:val="21"/>
          <w:szCs w:val="21"/>
          <w:lang w:eastAsia="tr-TR"/>
        </w:rPr>
        <w:fldChar w:fldCharType="begin"/>
      </w:r>
      <w:r w:rsidRPr="002E5B82">
        <w:rPr>
          <w:rFonts w:ascii="Arial" w:eastAsia="Times New Roman" w:hAnsi="Arial" w:cs="Arial"/>
          <w:color w:val="323232"/>
          <w:sz w:val="21"/>
          <w:szCs w:val="21"/>
          <w:lang w:eastAsia="tr-TR"/>
        </w:rPr>
        <w:instrText xml:space="preserve"> HYPERLINK "https://www.anayasa.gov.tr/tr/baskan/konusmalar/adil-yargilanma-guvencesi-olarak-silahlarin-esitligi-ilkesi" \l "_ftnref0" </w:instrText>
      </w:r>
      <w:r w:rsidRPr="002E5B82">
        <w:rPr>
          <w:rFonts w:ascii="Arial" w:eastAsia="Times New Roman" w:hAnsi="Arial" w:cs="Arial"/>
          <w:color w:val="323232"/>
          <w:sz w:val="21"/>
          <w:szCs w:val="21"/>
          <w:lang w:eastAsia="tr-TR"/>
        </w:rPr>
        <w:fldChar w:fldCharType="separate"/>
      </w:r>
      <w:r w:rsidRPr="002E5B82">
        <w:rPr>
          <w:rFonts w:ascii="Arial" w:eastAsia="Times New Roman" w:hAnsi="Arial" w:cs="Arial"/>
          <w:color w:val="323232"/>
          <w:sz w:val="16"/>
          <w:szCs w:val="16"/>
          <w:vertAlign w:val="superscript"/>
          <w:lang w:eastAsia="tr-TR"/>
        </w:rPr>
        <w:t>*</w:t>
      </w:r>
      <w:r w:rsidRPr="002E5B82">
        <w:rPr>
          <w:rFonts w:ascii="Arial" w:eastAsia="Times New Roman" w:hAnsi="Arial" w:cs="Arial"/>
          <w:color w:val="323232"/>
          <w:sz w:val="21"/>
          <w:szCs w:val="21"/>
          <w:lang w:eastAsia="tr-TR"/>
        </w:rPr>
        <w:fldChar w:fldCharType="end"/>
      </w:r>
      <w:bookmarkEnd w:id="2"/>
      <w:r w:rsidRPr="002E5B82">
        <w:rPr>
          <w:rFonts w:ascii="Arial" w:eastAsia="Times New Roman" w:hAnsi="Arial" w:cs="Arial"/>
          <w:color w:val="323232"/>
          <w:sz w:val="21"/>
          <w:szCs w:val="21"/>
          <w:lang w:eastAsia="tr-TR"/>
        </w:rPr>
        <w:t> “Anayasal Bir Güvence Olarak Silahların Eşitliği İlkesi” konulu sempozyumun açış konuşması, Ankara, 10-11 Ocak 2022.</w:t>
      </w:r>
    </w:p>
    <w:p w:rsidR="00F66DC6" w:rsidRPr="002E5B82" w:rsidRDefault="00F66DC6" w:rsidP="002E5B82">
      <w:pPr>
        <w:jc w:val="both"/>
      </w:pPr>
    </w:p>
    <w:sectPr w:rsidR="00F66DC6" w:rsidRPr="002E5B8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635" w:rsidRDefault="00CA3635" w:rsidP="002E5B82">
      <w:pPr>
        <w:spacing w:after="0" w:line="240" w:lineRule="auto"/>
      </w:pPr>
      <w:r>
        <w:separator/>
      </w:r>
    </w:p>
  </w:endnote>
  <w:endnote w:type="continuationSeparator" w:id="0">
    <w:p w:rsidR="00CA3635" w:rsidRDefault="00CA3635" w:rsidP="002E5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6100363"/>
      <w:docPartObj>
        <w:docPartGallery w:val="Page Numbers (Bottom of Page)"/>
        <w:docPartUnique/>
      </w:docPartObj>
    </w:sdtPr>
    <w:sdtEndPr/>
    <w:sdtContent>
      <w:p w:rsidR="002E5B82" w:rsidRDefault="002E5B82">
        <w:pPr>
          <w:pStyle w:val="AltBilgi"/>
          <w:jc w:val="right"/>
        </w:pPr>
        <w:r>
          <w:fldChar w:fldCharType="begin"/>
        </w:r>
        <w:r>
          <w:instrText>PAGE   \* MERGEFORMAT</w:instrText>
        </w:r>
        <w:r>
          <w:fldChar w:fldCharType="separate"/>
        </w:r>
        <w:r>
          <w:t>2</w:t>
        </w:r>
        <w:r>
          <w:fldChar w:fldCharType="end"/>
        </w:r>
      </w:p>
    </w:sdtContent>
  </w:sdt>
  <w:p w:rsidR="002E5B82" w:rsidRDefault="002E5B8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635" w:rsidRDefault="00CA3635" w:rsidP="002E5B82">
      <w:pPr>
        <w:spacing w:after="0" w:line="240" w:lineRule="auto"/>
      </w:pPr>
      <w:r>
        <w:separator/>
      </w:r>
    </w:p>
  </w:footnote>
  <w:footnote w:type="continuationSeparator" w:id="0">
    <w:p w:rsidR="00CA3635" w:rsidRDefault="00CA3635" w:rsidP="002E5B82">
      <w:pPr>
        <w:spacing w:after="0" w:line="240" w:lineRule="auto"/>
      </w:pPr>
      <w:r>
        <w:continuationSeparator/>
      </w:r>
    </w:p>
  </w:footnote>
  <w:footnote w:id="1">
    <w:p w:rsidR="007D35A9" w:rsidRDefault="007D35A9" w:rsidP="007D35A9">
      <w:pPr>
        <w:pStyle w:val="DipnotMetni"/>
        <w:jc w:val="both"/>
      </w:pPr>
      <w:r>
        <w:rPr>
          <w:rStyle w:val="DipnotBavurusu"/>
        </w:rPr>
        <w:footnoteRef/>
      </w:r>
      <w:r>
        <w:t xml:space="preserve"> </w:t>
      </w:r>
      <w:r w:rsidRPr="007D35A9">
        <w:t xml:space="preserve">AİHK, </w:t>
      </w:r>
      <w:proofErr w:type="spellStart"/>
      <w:r w:rsidRPr="007D35A9">
        <w:t>Ofner</w:t>
      </w:r>
      <w:proofErr w:type="spellEnd"/>
      <w:r w:rsidRPr="007D35A9">
        <w:t xml:space="preserve"> ve </w:t>
      </w:r>
      <w:proofErr w:type="spellStart"/>
      <w:r w:rsidRPr="007D35A9">
        <w:t>Hopfinger</w:t>
      </w:r>
      <w:proofErr w:type="spellEnd"/>
      <w:r w:rsidRPr="007D35A9">
        <w:t xml:space="preserve">/Avusturya, B. No: 524/59, 617/59, 23/11/1962, § 46; AİHM, </w:t>
      </w:r>
      <w:proofErr w:type="spellStart"/>
      <w:r w:rsidRPr="007D35A9">
        <w:t>Neumeister</w:t>
      </w:r>
      <w:proofErr w:type="spellEnd"/>
      <w:r w:rsidRPr="007D35A9">
        <w:t>/Avusturya, B. No: 1936/63, 27/6/1968, § 22.</w:t>
      </w:r>
    </w:p>
  </w:footnote>
  <w:footnote w:id="2">
    <w:p w:rsidR="007D35A9" w:rsidRDefault="007D35A9" w:rsidP="007D35A9">
      <w:pPr>
        <w:pStyle w:val="DipnotMetni"/>
        <w:jc w:val="both"/>
      </w:pPr>
      <w:r>
        <w:rPr>
          <w:rStyle w:val="DipnotBavurusu"/>
        </w:rPr>
        <w:footnoteRef/>
      </w:r>
      <w:r>
        <w:t xml:space="preserve"> </w:t>
      </w:r>
      <w:r w:rsidRPr="007D35A9">
        <w:t xml:space="preserve">Thomas C. </w:t>
      </w:r>
      <w:proofErr w:type="spellStart"/>
      <w:r w:rsidRPr="007D35A9">
        <w:t>Brickhouse</w:t>
      </w:r>
      <w:proofErr w:type="spellEnd"/>
      <w:r w:rsidRPr="007D35A9">
        <w:t xml:space="preserve"> &amp; </w:t>
      </w:r>
      <w:proofErr w:type="spellStart"/>
      <w:r w:rsidRPr="007D35A9">
        <w:t>Nicholas</w:t>
      </w:r>
      <w:proofErr w:type="spellEnd"/>
      <w:r w:rsidRPr="007D35A9">
        <w:t xml:space="preserve"> D. Smith, </w:t>
      </w:r>
      <w:proofErr w:type="spellStart"/>
      <w:r w:rsidRPr="007D35A9">
        <w:t>Socrates</w:t>
      </w:r>
      <w:proofErr w:type="spellEnd"/>
      <w:r w:rsidRPr="007D35A9">
        <w:t xml:space="preserve"> on Trial, (Princeton: Princeton </w:t>
      </w:r>
      <w:proofErr w:type="spellStart"/>
      <w:r w:rsidRPr="007D35A9">
        <w:t>University</w:t>
      </w:r>
      <w:proofErr w:type="spellEnd"/>
      <w:r w:rsidRPr="007D35A9">
        <w:t xml:space="preserve"> </w:t>
      </w:r>
      <w:proofErr w:type="spellStart"/>
      <w:r w:rsidRPr="007D35A9">
        <w:t>Press</w:t>
      </w:r>
      <w:proofErr w:type="spellEnd"/>
      <w:r w:rsidRPr="007D35A9">
        <w:t>, 1989), s. 42.</w:t>
      </w:r>
    </w:p>
  </w:footnote>
  <w:footnote w:id="3">
    <w:p w:rsidR="007D35A9" w:rsidRDefault="007D35A9" w:rsidP="007D35A9">
      <w:pPr>
        <w:pStyle w:val="DipnotMetni"/>
        <w:jc w:val="both"/>
      </w:pPr>
      <w:r>
        <w:rPr>
          <w:rStyle w:val="DipnotBavurusu"/>
        </w:rPr>
        <w:footnoteRef/>
      </w:r>
      <w:r>
        <w:t xml:space="preserve"> </w:t>
      </w:r>
      <w:r w:rsidRPr="007D35A9">
        <w:t xml:space="preserve">Platon, Sokrates’in Savunması, 22. Basım, Çev. A. </w:t>
      </w:r>
      <w:proofErr w:type="spellStart"/>
      <w:r w:rsidRPr="007D35A9">
        <w:t>Çokona</w:t>
      </w:r>
      <w:proofErr w:type="spellEnd"/>
      <w:r w:rsidRPr="007D35A9">
        <w:t>, (İstanbul: İş Bankası Yayınları, 2020), s. 57.</w:t>
      </w:r>
    </w:p>
  </w:footnote>
  <w:footnote w:id="4">
    <w:p w:rsidR="007D35A9" w:rsidRDefault="007D35A9" w:rsidP="007D35A9">
      <w:pPr>
        <w:pStyle w:val="DipnotMetni"/>
        <w:jc w:val="both"/>
      </w:pPr>
      <w:r>
        <w:rPr>
          <w:rStyle w:val="DipnotBavurusu"/>
        </w:rPr>
        <w:footnoteRef/>
      </w:r>
      <w:r>
        <w:t xml:space="preserve"> </w:t>
      </w:r>
      <w:r w:rsidRPr="007D35A9">
        <w:t xml:space="preserve">Fahri Gökçen Taner, Ceza Muhakemesi Hukukunda Adil Yargılanma Hakkı Bağlamında Çelişme ve Silahların Eşitliği, (Ankara: Seçkin Yayınları, 2019), </w:t>
      </w:r>
      <w:proofErr w:type="spellStart"/>
      <w:r w:rsidRPr="007D35A9">
        <w:t>ss</w:t>
      </w:r>
      <w:proofErr w:type="spellEnd"/>
      <w:r w:rsidRPr="007D35A9">
        <w:t>. 94-95.</w:t>
      </w:r>
    </w:p>
  </w:footnote>
  <w:footnote w:id="5">
    <w:p w:rsidR="007D35A9" w:rsidRDefault="007D35A9" w:rsidP="007D35A9">
      <w:pPr>
        <w:pStyle w:val="DipnotMetni"/>
        <w:jc w:val="both"/>
      </w:pPr>
      <w:r>
        <w:rPr>
          <w:rStyle w:val="DipnotBavurusu"/>
        </w:rPr>
        <w:footnoteRef/>
      </w:r>
      <w:r>
        <w:t xml:space="preserve"> </w:t>
      </w:r>
      <w:r w:rsidRPr="007D35A9">
        <w:t>Ertuğrul Ünal, Ceza Muhakemesi Hukukunda Silahların Eşitliği İlkesi, (Ankara: Adalet Yayınevi, 2021), s. 52.</w:t>
      </w:r>
    </w:p>
  </w:footnote>
  <w:footnote w:id="6">
    <w:p w:rsidR="007D35A9" w:rsidRDefault="007D35A9" w:rsidP="007D35A9">
      <w:pPr>
        <w:pStyle w:val="DipnotMetni"/>
        <w:jc w:val="both"/>
      </w:pPr>
      <w:r>
        <w:rPr>
          <w:rStyle w:val="DipnotBavurusu"/>
        </w:rPr>
        <w:footnoteRef/>
      </w:r>
      <w:r>
        <w:t xml:space="preserve"> </w:t>
      </w:r>
      <w:r>
        <w:t xml:space="preserve">Ali Haydar Efendi, </w:t>
      </w:r>
      <w:proofErr w:type="spellStart"/>
      <w:r>
        <w:t>Dürerü’l-Hükkâm</w:t>
      </w:r>
      <w:proofErr w:type="spellEnd"/>
      <w:r>
        <w:t xml:space="preserve">: </w:t>
      </w:r>
      <w:proofErr w:type="spellStart"/>
      <w:r>
        <w:t>Şerhu</w:t>
      </w:r>
      <w:proofErr w:type="spellEnd"/>
      <w:r>
        <w:t xml:space="preserve"> </w:t>
      </w:r>
      <w:proofErr w:type="spellStart"/>
      <w:r>
        <w:t>Mecelleti’l</w:t>
      </w:r>
      <w:proofErr w:type="spellEnd"/>
      <w:r>
        <w:t>-Ahkâm, Cilt IV, (Ankara: DİB Yayınları, 2016), s. 3252.</w:t>
      </w:r>
    </w:p>
  </w:footnote>
  <w:footnote w:id="7">
    <w:p w:rsidR="007D35A9" w:rsidRDefault="007D35A9" w:rsidP="007D35A9">
      <w:pPr>
        <w:pStyle w:val="DipnotMetni"/>
        <w:jc w:val="both"/>
      </w:pPr>
      <w:r>
        <w:rPr>
          <w:rStyle w:val="DipnotBavurusu"/>
        </w:rPr>
        <w:footnoteRef/>
      </w:r>
      <w:r>
        <w:t xml:space="preserve"> </w:t>
      </w:r>
      <w:proofErr w:type="spellStart"/>
      <w:r>
        <w:t>Ibid</w:t>
      </w:r>
      <w:proofErr w:type="spellEnd"/>
      <w:r>
        <w:t>., s. 3254.</w:t>
      </w:r>
    </w:p>
  </w:footnote>
  <w:footnote w:id="8">
    <w:p w:rsidR="007D35A9" w:rsidRDefault="007D35A9" w:rsidP="007D35A9">
      <w:pPr>
        <w:pStyle w:val="DipnotMetni"/>
        <w:jc w:val="both"/>
      </w:pPr>
      <w:r>
        <w:rPr>
          <w:rStyle w:val="DipnotBavurusu"/>
        </w:rPr>
        <w:footnoteRef/>
      </w:r>
      <w:r>
        <w:t xml:space="preserve"> </w:t>
      </w:r>
      <w:r w:rsidRPr="007D35A9">
        <w:t xml:space="preserve">Selâhattin </w:t>
      </w:r>
      <w:proofErr w:type="spellStart"/>
      <w:r w:rsidRPr="007D35A9">
        <w:t>Keyman</w:t>
      </w:r>
      <w:proofErr w:type="spellEnd"/>
      <w:r w:rsidRPr="007D35A9">
        <w:t>, Ceza Muhakemesinde (Asıl Ceza Muhakemesinde) Savcılık, (Ankara: Ankara Üniversitesi Hukuk Fakültesi Yayınları, 1970), s. 199.</w:t>
      </w:r>
    </w:p>
  </w:footnote>
  <w:footnote w:id="9">
    <w:p w:rsidR="007D35A9" w:rsidRDefault="007D35A9" w:rsidP="007D35A9">
      <w:pPr>
        <w:pStyle w:val="DipnotMetni"/>
        <w:jc w:val="both"/>
      </w:pPr>
      <w:r>
        <w:rPr>
          <w:rStyle w:val="DipnotBavurusu"/>
        </w:rPr>
        <w:footnoteRef/>
      </w:r>
      <w:r>
        <w:t xml:space="preserve"> </w:t>
      </w:r>
      <w:r w:rsidRPr="007D35A9">
        <w:t>AYM, E.2001/216, K.2004/120, 2/12/2004; aynı yöndeki değerlendirmeler için bkz. AYM, E.2005/124, K.2009/13, 29/1/2009; AYM, E.2016/191, K.2017/131, 26/7/2017, § 64.</w:t>
      </w:r>
    </w:p>
  </w:footnote>
  <w:footnote w:id="10">
    <w:p w:rsidR="007D35A9" w:rsidRDefault="007D35A9" w:rsidP="007D35A9">
      <w:pPr>
        <w:pStyle w:val="DipnotMetni"/>
        <w:jc w:val="both"/>
      </w:pPr>
      <w:r>
        <w:rPr>
          <w:rStyle w:val="DipnotBavurusu"/>
        </w:rPr>
        <w:footnoteRef/>
      </w:r>
      <w:r>
        <w:t xml:space="preserve"> </w:t>
      </w:r>
      <w:r w:rsidRPr="007D35A9">
        <w:t>Suç isnadına ilişkin yargılamalarda verilen kararlar için bkz. Akif Yıldırım ve Zehra Gayretli (editörler), Suç İsnadına İlişkin Yargılamalarda Silahların Eşitliği İlkesi: Karar Özetleri, AYAM, (Ankara: Anayasa Mahkemesi Yayınları, 2022).</w:t>
      </w:r>
    </w:p>
  </w:footnote>
  <w:footnote w:id="11">
    <w:p w:rsidR="007D35A9" w:rsidRDefault="007D35A9" w:rsidP="007D35A9">
      <w:pPr>
        <w:pStyle w:val="DipnotMetni"/>
        <w:jc w:val="both"/>
      </w:pPr>
      <w:r>
        <w:rPr>
          <w:rStyle w:val="DipnotBavurusu"/>
        </w:rPr>
        <w:footnoteRef/>
      </w:r>
      <w:r>
        <w:t xml:space="preserve"> </w:t>
      </w:r>
      <w:r w:rsidRPr="007D35A9">
        <w:t xml:space="preserve">Bkz. Mustafa </w:t>
      </w:r>
      <w:proofErr w:type="spellStart"/>
      <w:r w:rsidRPr="007D35A9">
        <w:t>Kupal</w:t>
      </w:r>
      <w:proofErr w:type="spellEnd"/>
      <w:r w:rsidRPr="007D35A9">
        <w:t>, B. No: 2013/7727, 4/2/2016, § 52.</w:t>
      </w:r>
    </w:p>
  </w:footnote>
  <w:footnote w:id="12">
    <w:p w:rsidR="007D35A9" w:rsidRDefault="007D35A9" w:rsidP="007D35A9">
      <w:pPr>
        <w:pStyle w:val="DipnotMetni"/>
        <w:jc w:val="both"/>
      </w:pPr>
      <w:r>
        <w:rPr>
          <w:rStyle w:val="DipnotBavurusu"/>
        </w:rPr>
        <w:footnoteRef/>
      </w:r>
      <w:r>
        <w:t xml:space="preserve"> </w:t>
      </w:r>
      <w:r w:rsidRPr="007D35A9">
        <w:t xml:space="preserve">Yüksel Hançer, B. No: 2013/2116, 23/1/2014, § 64; Adnan Şen [GK], </w:t>
      </w:r>
      <w:proofErr w:type="spellStart"/>
      <w:proofErr w:type="gramStart"/>
      <w:r w:rsidRPr="007D35A9">
        <w:t>B.No</w:t>
      </w:r>
      <w:proofErr w:type="spellEnd"/>
      <w:proofErr w:type="gramEnd"/>
      <w:r w:rsidRPr="007D35A9">
        <w:t>: 2018/8903, 15/4/2021, § 155; İdris Ertaş [GK], B. No: 2018/21949, 20/5/2021, § 54.</w:t>
      </w:r>
    </w:p>
  </w:footnote>
  <w:footnote w:id="13">
    <w:p w:rsidR="007D35A9" w:rsidRDefault="007D35A9" w:rsidP="007D35A9">
      <w:pPr>
        <w:pStyle w:val="DipnotMetni"/>
        <w:jc w:val="both"/>
      </w:pPr>
      <w:r>
        <w:rPr>
          <w:rStyle w:val="DipnotBavurusu"/>
        </w:rPr>
        <w:footnoteRef/>
      </w:r>
      <w:r>
        <w:t xml:space="preserve"> </w:t>
      </w:r>
      <w:r w:rsidRPr="007D35A9">
        <w:t>Yankı Bağcıoğlu ve diğerleri [GK], B. No: 2014/253, 9/1/2015, § 65.</w:t>
      </w:r>
    </w:p>
  </w:footnote>
  <w:footnote w:id="14">
    <w:p w:rsidR="007D35A9" w:rsidRDefault="007D35A9" w:rsidP="007D35A9">
      <w:pPr>
        <w:pStyle w:val="DipnotMetni"/>
        <w:jc w:val="both"/>
      </w:pPr>
      <w:r>
        <w:rPr>
          <w:rStyle w:val="DipnotBavurusu"/>
        </w:rPr>
        <w:footnoteRef/>
      </w:r>
      <w:r>
        <w:t xml:space="preserve"> </w:t>
      </w:r>
      <w:r w:rsidRPr="007D35A9">
        <w:t>Yasemin Mutlu, B. No: 2013/1426, 25/3/2014; Zekiye Şanlı, B. No: 2012/931, 26/6/2014.</w:t>
      </w:r>
    </w:p>
  </w:footnote>
  <w:footnote w:id="15">
    <w:p w:rsidR="007D35A9" w:rsidRDefault="007D35A9" w:rsidP="007D35A9">
      <w:pPr>
        <w:pStyle w:val="DipnotMetni"/>
        <w:jc w:val="both"/>
      </w:pPr>
      <w:r>
        <w:rPr>
          <w:rStyle w:val="DipnotBavurusu"/>
        </w:rPr>
        <w:footnoteRef/>
      </w:r>
      <w:r>
        <w:t xml:space="preserve"> </w:t>
      </w:r>
      <w:r w:rsidRPr="007D35A9">
        <w:t>Oğuzhan Mert Kaya, B. No: 2014/6431, 14/11/2018.</w:t>
      </w:r>
    </w:p>
  </w:footnote>
  <w:footnote w:id="16">
    <w:p w:rsidR="007D35A9" w:rsidRDefault="007D35A9" w:rsidP="007D35A9">
      <w:pPr>
        <w:pStyle w:val="DipnotMetni"/>
        <w:jc w:val="both"/>
      </w:pPr>
      <w:r>
        <w:rPr>
          <w:rStyle w:val="DipnotBavurusu"/>
        </w:rPr>
        <w:footnoteRef/>
      </w:r>
      <w:r>
        <w:t xml:space="preserve"> </w:t>
      </w:r>
      <w:r w:rsidRPr="007D35A9">
        <w:t>Yankı Bağcıoğlu ve diğerleri [GK], § 64.</w:t>
      </w:r>
    </w:p>
  </w:footnote>
  <w:footnote w:id="17">
    <w:p w:rsidR="007D35A9" w:rsidRDefault="007D35A9" w:rsidP="007D35A9">
      <w:pPr>
        <w:pStyle w:val="DipnotMetni"/>
        <w:jc w:val="both"/>
      </w:pPr>
      <w:r>
        <w:rPr>
          <w:rStyle w:val="DipnotBavurusu"/>
        </w:rPr>
        <w:footnoteRef/>
      </w:r>
      <w:r>
        <w:t xml:space="preserve"> </w:t>
      </w:r>
      <w:r w:rsidRPr="007D35A9">
        <w:t xml:space="preserve">Erol </w:t>
      </w:r>
      <w:proofErr w:type="spellStart"/>
      <w:r w:rsidRPr="007D35A9">
        <w:t>Aydeğer</w:t>
      </w:r>
      <w:proofErr w:type="spellEnd"/>
      <w:r w:rsidRPr="007D35A9">
        <w:t>, B. No: 2013/4784, 7/3/2014, § 41; Ali Kemal Tekin, B. No: 2014/875, 2/2/2017, § 41.</w:t>
      </w:r>
    </w:p>
  </w:footnote>
  <w:footnote w:id="18">
    <w:p w:rsidR="007D35A9" w:rsidRDefault="007D35A9" w:rsidP="007D35A9">
      <w:pPr>
        <w:pStyle w:val="DipnotMetni"/>
        <w:jc w:val="both"/>
      </w:pPr>
      <w:r>
        <w:rPr>
          <w:rStyle w:val="DipnotBavurusu"/>
        </w:rPr>
        <w:footnoteRef/>
      </w:r>
      <w:r>
        <w:t xml:space="preserve"> </w:t>
      </w:r>
      <w:r w:rsidRPr="007D35A9">
        <w:t xml:space="preserve">Harris, </w:t>
      </w:r>
      <w:proofErr w:type="spellStart"/>
      <w:r w:rsidRPr="007D35A9">
        <w:t>O’Boyle</w:t>
      </w:r>
      <w:proofErr w:type="spellEnd"/>
      <w:r w:rsidRPr="007D35A9">
        <w:t xml:space="preserve"> &amp; </w:t>
      </w:r>
      <w:proofErr w:type="spellStart"/>
      <w:r w:rsidRPr="007D35A9">
        <w:t>Warbrick</w:t>
      </w:r>
      <w:proofErr w:type="spellEnd"/>
      <w:r w:rsidRPr="007D35A9">
        <w:t xml:space="preserve">, </w:t>
      </w:r>
      <w:proofErr w:type="spellStart"/>
      <w:r w:rsidRPr="007D35A9">
        <w:t>Law</w:t>
      </w:r>
      <w:proofErr w:type="spellEnd"/>
      <w:r w:rsidRPr="007D35A9">
        <w:t xml:space="preserve"> of </w:t>
      </w:r>
      <w:proofErr w:type="spellStart"/>
      <w:r w:rsidRPr="007D35A9">
        <w:t>the</w:t>
      </w:r>
      <w:proofErr w:type="spellEnd"/>
      <w:r w:rsidRPr="007D35A9">
        <w:t xml:space="preserve"> </w:t>
      </w:r>
      <w:proofErr w:type="spellStart"/>
      <w:r w:rsidRPr="007D35A9">
        <w:t>European</w:t>
      </w:r>
      <w:proofErr w:type="spellEnd"/>
      <w:r w:rsidRPr="007D35A9">
        <w:t xml:space="preserve"> </w:t>
      </w:r>
      <w:proofErr w:type="spellStart"/>
      <w:r w:rsidRPr="007D35A9">
        <w:t>Convention</w:t>
      </w:r>
      <w:proofErr w:type="spellEnd"/>
      <w:r w:rsidRPr="007D35A9">
        <w:t xml:space="preserve"> on Human </w:t>
      </w:r>
      <w:proofErr w:type="spellStart"/>
      <w:r w:rsidRPr="007D35A9">
        <w:t>Rights</w:t>
      </w:r>
      <w:proofErr w:type="spellEnd"/>
      <w:r w:rsidRPr="007D35A9">
        <w:t xml:space="preserve">, </w:t>
      </w:r>
      <w:proofErr w:type="spellStart"/>
      <w:r w:rsidRPr="007D35A9">
        <w:t>Fourth</w:t>
      </w:r>
      <w:proofErr w:type="spellEnd"/>
      <w:r w:rsidRPr="007D35A9">
        <w:t xml:space="preserve"> Edition, (Oxford: Oxford </w:t>
      </w:r>
      <w:proofErr w:type="spellStart"/>
      <w:r w:rsidRPr="007D35A9">
        <w:t>University</w:t>
      </w:r>
      <w:proofErr w:type="spellEnd"/>
      <w:r w:rsidRPr="007D35A9">
        <w:t xml:space="preserve"> </w:t>
      </w:r>
      <w:proofErr w:type="spellStart"/>
      <w:r w:rsidRPr="007D35A9">
        <w:t>Press</w:t>
      </w:r>
      <w:proofErr w:type="spellEnd"/>
      <w:r w:rsidRPr="007D35A9">
        <w:t>, 2018), s. 416.</w:t>
      </w:r>
    </w:p>
  </w:footnote>
  <w:footnote w:id="19">
    <w:p w:rsidR="007D35A9" w:rsidRDefault="007D35A9" w:rsidP="007D35A9">
      <w:pPr>
        <w:pStyle w:val="DipnotMetni"/>
        <w:jc w:val="both"/>
      </w:pPr>
      <w:r>
        <w:rPr>
          <w:rStyle w:val="DipnotBavurusu"/>
        </w:rPr>
        <w:footnoteRef/>
      </w:r>
      <w:r>
        <w:t xml:space="preserve"> </w:t>
      </w:r>
      <w:proofErr w:type="spellStart"/>
      <w:r w:rsidRPr="007D35A9">
        <w:t>Borgers</w:t>
      </w:r>
      <w:proofErr w:type="spellEnd"/>
      <w:r w:rsidRPr="007D35A9">
        <w:t>/Belçika, B. No: 12005/86, 30/10/1991, §§ 28, 29.</w:t>
      </w:r>
    </w:p>
  </w:footnote>
  <w:footnote w:id="20">
    <w:p w:rsidR="007D35A9" w:rsidRDefault="007D35A9" w:rsidP="007D35A9">
      <w:pPr>
        <w:pStyle w:val="DipnotMetni"/>
        <w:jc w:val="both"/>
      </w:pPr>
      <w:r>
        <w:rPr>
          <w:rStyle w:val="DipnotBavurusu"/>
        </w:rPr>
        <w:footnoteRef/>
      </w:r>
      <w:r>
        <w:t xml:space="preserve"> </w:t>
      </w:r>
      <w:proofErr w:type="spellStart"/>
      <w:r w:rsidRPr="007D35A9">
        <w:t>Diriöz</w:t>
      </w:r>
      <w:proofErr w:type="spellEnd"/>
      <w:r w:rsidRPr="007D35A9">
        <w:t>/Türkiye, B. No: 38560/04, 31/5/2012, § 25.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B82"/>
    <w:rsid w:val="002E5B82"/>
    <w:rsid w:val="007D35A9"/>
    <w:rsid w:val="00CA3635"/>
    <w:rsid w:val="00F66DC6"/>
    <w:rsid w:val="00FD25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D7D35"/>
  <w15:chartTrackingRefBased/>
  <w15:docId w15:val="{66A4F4B5-4F81-473B-9D92-F2B90B21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2E5B8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E5B82"/>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2E5B82"/>
    <w:rPr>
      <w:b/>
      <w:bCs/>
    </w:rPr>
  </w:style>
  <w:style w:type="character" w:styleId="Kpr">
    <w:name w:val="Hyperlink"/>
    <w:basedOn w:val="VarsaylanParagrafYazTipi"/>
    <w:uiPriority w:val="99"/>
    <w:semiHidden/>
    <w:unhideWhenUsed/>
    <w:rsid w:val="002E5B82"/>
    <w:rPr>
      <w:color w:val="0000FF"/>
      <w:u w:val="single"/>
    </w:rPr>
  </w:style>
  <w:style w:type="paragraph" w:styleId="NormalWeb">
    <w:name w:val="Normal (Web)"/>
    <w:basedOn w:val="Normal"/>
    <w:uiPriority w:val="99"/>
    <w:semiHidden/>
    <w:unhideWhenUsed/>
    <w:rsid w:val="002E5B8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2E5B82"/>
    <w:rPr>
      <w:i/>
      <w:iCs/>
    </w:rPr>
  </w:style>
  <w:style w:type="paragraph" w:styleId="stBilgi">
    <w:name w:val="header"/>
    <w:basedOn w:val="Normal"/>
    <w:link w:val="stBilgiChar"/>
    <w:uiPriority w:val="99"/>
    <w:unhideWhenUsed/>
    <w:rsid w:val="002E5B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E5B82"/>
  </w:style>
  <w:style w:type="paragraph" w:styleId="AltBilgi">
    <w:name w:val="footer"/>
    <w:basedOn w:val="Normal"/>
    <w:link w:val="AltBilgiChar"/>
    <w:uiPriority w:val="99"/>
    <w:unhideWhenUsed/>
    <w:rsid w:val="002E5B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E5B82"/>
  </w:style>
  <w:style w:type="paragraph" w:styleId="DipnotMetni">
    <w:name w:val="footnote text"/>
    <w:basedOn w:val="Normal"/>
    <w:link w:val="DipnotMetniChar"/>
    <w:uiPriority w:val="99"/>
    <w:semiHidden/>
    <w:unhideWhenUsed/>
    <w:rsid w:val="007D35A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D35A9"/>
    <w:rPr>
      <w:sz w:val="20"/>
      <w:szCs w:val="20"/>
    </w:rPr>
  </w:style>
  <w:style w:type="character" w:styleId="DipnotBavurusu">
    <w:name w:val="footnote reference"/>
    <w:basedOn w:val="VarsaylanParagrafYazTipi"/>
    <w:uiPriority w:val="99"/>
    <w:semiHidden/>
    <w:unhideWhenUsed/>
    <w:rsid w:val="007D35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83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A9EB2-FF8B-4F5F-B232-54FE29048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1554</Words>
  <Characters>8864</Characters>
  <Application>Microsoft Office Word</Application>
  <DocSecurity>0</DocSecurity>
  <Lines>73</Lines>
  <Paragraphs>20</Paragraphs>
  <ScaleCrop>false</ScaleCrop>
  <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2</cp:revision>
  <dcterms:created xsi:type="dcterms:W3CDTF">2024-02-20T08:05:00Z</dcterms:created>
  <dcterms:modified xsi:type="dcterms:W3CDTF">2024-05-02T10:49:00Z</dcterms:modified>
</cp:coreProperties>
</file>