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BB" w:rsidRPr="00B852BB" w:rsidRDefault="00B852BB" w:rsidP="00B852BB">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B852BB">
        <w:rPr>
          <w:rFonts w:ascii="Arial" w:eastAsia="Times New Roman" w:hAnsi="Arial" w:cs="Arial"/>
          <w:b/>
          <w:bCs/>
          <w:color w:val="323232"/>
          <w:sz w:val="30"/>
          <w:szCs w:val="30"/>
          <w:lang w:eastAsia="tr-TR"/>
        </w:rPr>
        <w:t>Anayasa Mahkemesinin 60. Kuruluş Yıldönümünde Yaptığı Açış Konuşması</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Değerli Konuklar,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Mahkemesinin kuruluşunun 60. yıldönümü nedeniyle düzenlediğimiz törene hoş geldiniz diyor, sizleri en içten duygularımla, saygıyla selamlıyorum.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Dünyanın dört bir yanından gelen bölgesel insan hakları mahkemelerinin başkan ve üyeleri, uluslararası kuruluşların temsilcileri ve 26 ülkeden anayasa mahkemesi başkan ve üyeleri bugün aramızda bulunmaktadır. Kendilerini ülkemizde ağırlamaktan dolayı büyük bir mutluluk duyduğumuzu ifade etmek isterim.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Bilindiği üzere dünyanın her yerinde mahkemelerin temel görevi adaleti sağlamaktır. Bu hayati bir görevdir zira bireysel, toplumsal ve siyasal hayatın dengesini sağlayan bizatihi adalettir. Bu nedenle de tarih boyunca hemen her toplumda adalet toplumun örgütlü hâli olan devletin bir yandan varlık sebebi diğer yandan da varlığını devam ettirmesinin temel şartı olarak görülmüştür.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Başta Fatih Sultan Mehmet olmak üzere Osmanlı devlet adamlarını da etkilemiş olan Abdurrahman Câmi, </w:t>
      </w:r>
      <w:proofErr w:type="spellStart"/>
      <w:r w:rsidRPr="00B852BB">
        <w:rPr>
          <w:rFonts w:ascii="Arial" w:eastAsia="Times New Roman" w:hAnsi="Arial" w:cs="Arial"/>
          <w:i/>
          <w:iCs/>
          <w:color w:val="323232"/>
          <w:sz w:val="21"/>
          <w:szCs w:val="21"/>
          <w:lang w:eastAsia="tr-TR"/>
        </w:rPr>
        <w:t>Baharistan</w:t>
      </w:r>
      <w:proofErr w:type="spellEnd"/>
      <w:r w:rsidRPr="00B852BB">
        <w:rPr>
          <w:rFonts w:ascii="Arial" w:eastAsia="Times New Roman" w:hAnsi="Arial" w:cs="Arial"/>
          <w:color w:val="323232"/>
          <w:sz w:val="21"/>
          <w:szCs w:val="21"/>
          <w:lang w:eastAsia="tr-TR"/>
        </w:rPr>
        <w:t xml:space="preserve"> adlı eserinde adaletin bu işlevini veciz bir şekilde ifade etmiştir. </w:t>
      </w:r>
      <w:proofErr w:type="spellStart"/>
      <w:r w:rsidRPr="00B852BB">
        <w:rPr>
          <w:rFonts w:ascii="Arial" w:eastAsia="Times New Roman" w:hAnsi="Arial" w:cs="Arial"/>
          <w:color w:val="323232"/>
          <w:sz w:val="21"/>
          <w:szCs w:val="21"/>
          <w:lang w:eastAsia="tr-TR"/>
        </w:rPr>
        <w:t>Câmî’ye</w:t>
      </w:r>
      <w:proofErr w:type="spellEnd"/>
      <w:r w:rsidRPr="00B852BB">
        <w:rPr>
          <w:rFonts w:ascii="Arial" w:eastAsia="Times New Roman" w:hAnsi="Arial" w:cs="Arial"/>
          <w:color w:val="323232"/>
          <w:sz w:val="21"/>
          <w:szCs w:val="21"/>
          <w:lang w:eastAsia="tr-TR"/>
        </w:rPr>
        <w:t xml:space="preserve"> göre yöneticilerin varlığındaki hikmet ve ülkeyi korumada belirleyici olan değer adalettir.</w:t>
      </w:r>
      <w:r w:rsidR="009C46CB">
        <w:rPr>
          <w:rStyle w:val="DipnotBavurusu"/>
          <w:rFonts w:ascii="Arial" w:eastAsia="Times New Roman" w:hAnsi="Arial" w:cs="Arial"/>
          <w:color w:val="323232"/>
          <w:sz w:val="21"/>
          <w:szCs w:val="21"/>
          <w:lang w:eastAsia="tr-TR"/>
        </w:rPr>
        <w:footnoteReference w:id="1"/>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Bununla birlikte adalet gerçekleştirilmesi kolay olmayan bir erdemdir. Tam da bu nedenle en üstün erdem olan adalet, bir retorik değil pratik meselesidir. Başka bir ifadeyle adaletin konuşulmasından ziyade uygulanması ve uygulandığının da görülmesi gerekir. Adaletin tecelli ettiğinin görülmesi, devlete özellikle de adalet dağıtmakla görevli olan yargıya inancı ve güveni tahkim edecektir.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Eylem olarak adalet bir hakkın tespiti ve teslimidir. Bu da adaletin güçle olan yakın ilişkisini gündeme getirir. Adaletin tecellisi gücü, gücün meşruiyeti adaleti gerektirir. Ünlü düşünür Pascal, </w:t>
      </w:r>
      <w:r w:rsidRPr="00B852BB">
        <w:rPr>
          <w:rFonts w:ascii="Arial" w:eastAsia="Times New Roman" w:hAnsi="Arial" w:cs="Arial"/>
          <w:i/>
          <w:iCs/>
          <w:color w:val="323232"/>
          <w:sz w:val="21"/>
          <w:szCs w:val="21"/>
          <w:lang w:eastAsia="tr-TR"/>
        </w:rPr>
        <w:t xml:space="preserve">güçsüz adaletin </w:t>
      </w:r>
      <w:proofErr w:type="spellStart"/>
      <w:r w:rsidRPr="00B852BB">
        <w:rPr>
          <w:rFonts w:ascii="Arial" w:eastAsia="Times New Roman" w:hAnsi="Arial" w:cs="Arial"/>
          <w:i/>
          <w:iCs/>
          <w:color w:val="323232"/>
          <w:sz w:val="21"/>
          <w:szCs w:val="21"/>
          <w:lang w:eastAsia="tr-TR"/>
        </w:rPr>
        <w:t>acziyete</w:t>
      </w:r>
      <w:proofErr w:type="spellEnd"/>
      <w:r w:rsidRPr="00B852BB">
        <w:rPr>
          <w:rFonts w:ascii="Arial" w:eastAsia="Times New Roman" w:hAnsi="Arial" w:cs="Arial"/>
          <w:i/>
          <w:iCs/>
          <w:color w:val="323232"/>
          <w:sz w:val="21"/>
          <w:szCs w:val="21"/>
          <w:lang w:eastAsia="tr-TR"/>
        </w:rPr>
        <w:t>, adaletsiz gücün ise zorbalığa </w:t>
      </w:r>
      <w:r w:rsidRPr="00B852BB">
        <w:rPr>
          <w:rFonts w:ascii="Arial" w:eastAsia="Times New Roman" w:hAnsi="Arial" w:cs="Arial"/>
          <w:color w:val="323232"/>
          <w:sz w:val="21"/>
          <w:szCs w:val="21"/>
          <w:lang w:eastAsia="tr-TR"/>
        </w:rPr>
        <w:t>yol açacağını söyler. Bu nedenle adalet ve güç buluşturulmalı, bunun için ya adil olan güçlü ya da güçlü olan adil kılınmalıdır.</w:t>
      </w:r>
      <w:r w:rsidR="009C46CB">
        <w:rPr>
          <w:rStyle w:val="DipnotBavurusu"/>
          <w:rFonts w:ascii="Arial" w:eastAsia="Times New Roman" w:hAnsi="Arial" w:cs="Arial"/>
          <w:color w:val="323232"/>
          <w:sz w:val="21"/>
          <w:szCs w:val="21"/>
          <w:lang w:eastAsia="tr-TR"/>
        </w:rPr>
        <w:footnoteReference w:id="2"/>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Güçlü olanı adil kılmanın yolu hiç kuşkusuz hukuktan geçmektedir. Aslında hukukun temel işlevi, iktidarı sınırlamak suretiyle gücü adaletle buluşturmaktır. Bu sebeple gücü sadece </w:t>
      </w:r>
      <w:r w:rsidRPr="00B852BB">
        <w:rPr>
          <w:rFonts w:ascii="Arial" w:eastAsia="Times New Roman" w:hAnsi="Arial" w:cs="Arial"/>
          <w:i/>
          <w:iCs/>
          <w:color w:val="323232"/>
          <w:sz w:val="21"/>
          <w:szCs w:val="21"/>
          <w:lang w:eastAsia="tr-TR"/>
        </w:rPr>
        <w:t xml:space="preserve">adaletin </w:t>
      </w:r>
      <w:r w:rsidRPr="00B852BB">
        <w:rPr>
          <w:rFonts w:ascii="Arial" w:eastAsia="Times New Roman" w:hAnsi="Arial" w:cs="Arial"/>
          <w:i/>
          <w:iCs/>
          <w:color w:val="323232"/>
          <w:sz w:val="21"/>
          <w:szCs w:val="21"/>
          <w:lang w:eastAsia="tr-TR"/>
        </w:rPr>
        <w:lastRenderedPageBreak/>
        <w:t>vasıtası</w:t>
      </w:r>
      <w:r w:rsidRPr="00B852BB">
        <w:rPr>
          <w:rFonts w:ascii="Arial" w:eastAsia="Times New Roman" w:hAnsi="Arial" w:cs="Arial"/>
          <w:color w:val="323232"/>
          <w:sz w:val="21"/>
          <w:szCs w:val="21"/>
          <w:lang w:eastAsia="tr-TR"/>
        </w:rPr>
        <w:t xml:space="preserve"> olarak niteleyen merhum </w:t>
      </w:r>
      <w:proofErr w:type="spellStart"/>
      <w:r w:rsidRPr="00B852BB">
        <w:rPr>
          <w:rFonts w:ascii="Arial" w:eastAsia="Times New Roman" w:hAnsi="Arial" w:cs="Arial"/>
          <w:color w:val="323232"/>
          <w:sz w:val="21"/>
          <w:szCs w:val="21"/>
          <w:lang w:eastAsia="tr-TR"/>
        </w:rPr>
        <w:t>Aliya</w:t>
      </w:r>
      <w:proofErr w:type="spellEnd"/>
      <w:r w:rsidRPr="00B852BB">
        <w:rPr>
          <w:rFonts w:ascii="Arial" w:eastAsia="Times New Roman" w:hAnsi="Arial" w:cs="Arial"/>
          <w:color w:val="323232"/>
          <w:sz w:val="21"/>
          <w:szCs w:val="21"/>
          <w:lang w:eastAsia="tr-TR"/>
        </w:rPr>
        <w:t xml:space="preserve"> </w:t>
      </w:r>
      <w:proofErr w:type="spellStart"/>
      <w:r w:rsidRPr="00B852BB">
        <w:rPr>
          <w:rFonts w:ascii="Arial" w:eastAsia="Times New Roman" w:hAnsi="Arial" w:cs="Arial"/>
          <w:color w:val="323232"/>
          <w:sz w:val="21"/>
          <w:szCs w:val="21"/>
          <w:lang w:eastAsia="tr-TR"/>
        </w:rPr>
        <w:t>İzzetbegoviç’in</w:t>
      </w:r>
      <w:proofErr w:type="spellEnd"/>
      <w:r w:rsidRPr="00B852BB">
        <w:rPr>
          <w:rFonts w:ascii="Arial" w:eastAsia="Times New Roman" w:hAnsi="Arial" w:cs="Arial"/>
          <w:color w:val="323232"/>
          <w:sz w:val="21"/>
          <w:szCs w:val="21"/>
          <w:lang w:eastAsia="tr-TR"/>
        </w:rPr>
        <w:t xml:space="preserve"> ifadesiyle “</w:t>
      </w:r>
      <w:r w:rsidRPr="00B852BB">
        <w:rPr>
          <w:rFonts w:ascii="Arial" w:eastAsia="Times New Roman" w:hAnsi="Arial" w:cs="Arial"/>
          <w:i/>
          <w:iCs/>
          <w:color w:val="323232"/>
          <w:sz w:val="21"/>
          <w:szCs w:val="21"/>
          <w:lang w:eastAsia="tr-TR"/>
        </w:rPr>
        <w:t>İktidarın herhangi bir sınırlamasının başladığı zamanda ve yerde hukuk başlar</w:t>
      </w:r>
      <w:r w:rsidRPr="00B852BB">
        <w:rPr>
          <w:rFonts w:ascii="Arial" w:eastAsia="Times New Roman" w:hAnsi="Arial" w:cs="Arial"/>
          <w:color w:val="323232"/>
          <w:sz w:val="21"/>
          <w:szCs w:val="21"/>
          <w:lang w:eastAsia="tr-TR"/>
        </w:rPr>
        <w:t>.”</w:t>
      </w:r>
      <w:bookmarkStart w:id="0" w:name="_ednref3"/>
      <w:r w:rsidRPr="00B852BB">
        <w:rPr>
          <w:rFonts w:ascii="Arial" w:eastAsia="Times New Roman" w:hAnsi="Arial" w:cs="Arial"/>
          <w:color w:val="323232"/>
          <w:sz w:val="21"/>
          <w:szCs w:val="21"/>
          <w:lang w:eastAsia="tr-TR"/>
        </w:rPr>
        <w:fldChar w:fldCharType="begin"/>
      </w:r>
      <w:r w:rsidRPr="00B852BB">
        <w:rPr>
          <w:rFonts w:ascii="Arial" w:eastAsia="Times New Roman" w:hAnsi="Arial" w:cs="Arial"/>
          <w:color w:val="323232"/>
          <w:sz w:val="21"/>
          <w:szCs w:val="21"/>
          <w:lang w:eastAsia="tr-TR"/>
        </w:rPr>
        <w:instrText xml:space="preserve"> HYPERLINK "https://www.anayasa.gov.tr/tr/baskan/konusmalar/anayasa-mahkemesinin-60-kurulus-yildonumunde-yaptigi-acis-konusmasi/" \l "_edn3" </w:instrText>
      </w:r>
      <w:r w:rsidRPr="00B852BB">
        <w:rPr>
          <w:rFonts w:ascii="Arial" w:eastAsia="Times New Roman" w:hAnsi="Arial" w:cs="Arial"/>
          <w:color w:val="323232"/>
          <w:sz w:val="21"/>
          <w:szCs w:val="21"/>
          <w:lang w:eastAsia="tr-TR"/>
        </w:rPr>
        <w:fldChar w:fldCharType="separate"/>
      </w:r>
      <w:r w:rsidRPr="00B852BB">
        <w:rPr>
          <w:rFonts w:ascii="Arial" w:eastAsia="Times New Roman" w:hAnsi="Arial" w:cs="Arial"/>
          <w:color w:val="323232"/>
          <w:sz w:val="21"/>
          <w:szCs w:val="21"/>
          <w:lang w:eastAsia="tr-TR"/>
        </w:rPr>
        <w:fldChar w:fldCharType="end"/>
      </w:r>
      <w:bookmarkEnd w:id="0"/>
      <w:r w:rsidR="009C46CB">
        <w:rPr>
          <w:rStyle w:val="DipnotBavurusu"/>
          <w:rFonts w:ascii="Arial" w:eastAsia="Times New Roman" w:hAnsi="Arial" w:cs="Arial"/>
          <w:color w:val="323232"/>
          <w:sz w:val="21"/>
          <w:szCs w:val="21"/>
          <w:lang w:eastAsia="tr-TR"/>
        </w:rPr>
        <w:footnoteReference w:id="3"/>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yargısının arkasında da gücün hukuk ve adaletle buluşturulması düşüncesi yatmaktadır. Siyasal iktidarı anayasanın çizdiği sınırlar içinde tutarak temel hak ve özgürlükleri koruma kaygısı, geçen yüzyılda anayasa yargısının kurumsallaşması sonucunu doğurmuştur. Özellikle iki büyük savaş sırasında yaşanan katliamlara ve sistematik hak ihlallerine yönelik tepki ulusal düzeyde anayasa mahkemelerini, uluslararası düzeyde ise insan hakları mahkemelerini ortaya çıkarmıştır.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Ne var ki insan maalesef çabuk unutan bir varlıktır. Yaşanan onca savaş, katliam ve sistematik hak ihlallerinden sonra aynı akıl ve vicdan tutulmasına tekrar tekrar tanıklık etmek büyük bir trajedi olsa gerektir.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Diğer yandan hiçbir kurumun varlığı tek başına kendisinden beklenen fonksiyonu garanti edemez. Bu manada anayasa mahkemelerinin varlığı da temel hak ve özgürlüklerin korunması için yeterli değildir. Etkili ve işlevsel bir anayasa yargısı, kurumsal perspektiften bakarak biri </w:t>
      </w:r>
      <w:r w:rsidRPr="00B852BB">
        <w:rPr>
          <w:rFonts w:ascii="Arial" w:eastAsia="Times New Roman" w:hAnsi="Arial" w:cs="Arial"/>
          <w:i/>
          <w:iCs/>
          <w:color w:val="323232"/>
          <w:sz w:val="21"/>
          <w:szCs w:val="21"/>
          <w:lang w:eastAsia="tr-TR"/>
        </w:rPr>
        <w:t>harici</w:t>
      </w:r>
      <w:r w:rsidRPr="00B852BB">
        <w:rPr>
          <w:rFonts w:ascii="Arial" w:eastAsia="Times New Roman" w:hAnsi="Arial" w:cs="Arial"/>
          <w:color w:val="323232"/>
          <w:sz w:val="21"/>
          <w:szCs w:val="21"/>
          <w:lang w:eastAsia="tr-TR"/>
        </w:rPr>
        <w:t> diğeri </w:t>
      </w:r>
      <w:r w:rsidRPr="00B852BB">
        <w:rPr>
          <w:rFonts w:ascii="Arial" w:eastAsia="Times New Roman" w:hAnsi="Arial" w:cs="Arial"/>
          <w:i/>
          <w:iCs/>
          <w:color w:val="323232"/>
          <w:sz w:val="21"/>
          <w:szCs w:val="21"/>
          <w:lang w:eastAsia="tr-TR"/>
        </w:rPr>
        <w:t>dâhili</w:t>
      </w:r>
      <w:r w:rsidRPr="00B852BB">
        <w:rPr>
          <w:rFonts w:ascii="Arial" w:eastAsia="Times New Roman" w:hAnsi="Arial" w:cs="Arial"/>
          <w:color w:val="323232"/>
          <w:sz w:val="21"/>
          <w:szCs w:val="21"/>
          <w:lang w:eastAsia="tr-TR"/>
        </w:rPr>
        <w:t> diyebileceğimiz iki temel şartın gerçekleşmesine bağlıdır.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Harici şart anayasal sisteme </w:t>
      </w:r>
      <w:r w:rsidRPr="00B852BB">
        <w:rPr>
          <w:rFonts w:ascii="Arial" w:eastAsia="Times New Roman" w:hAnsi="Arial" w:cs="Arial"/>
          <w:i/>
          <w:iCs/>
          <w:color w:val="323232"/>
          <w:sz w:val="21"/>
          <w:szCs w:val="21"/>
          <w:lang w:eastAsia="tr-TR"/>
        </w:rPr>
        <w:t>kuvvetler ayrılığı </w:t>
      </w:r>
      <w:r w:rsidRPr="00B852BB">
        <w:rPr>
          <w:rFonts w:ascii="Arial" w:eastAsia="Times New Roman" w:hAnsi="Arial" w:cs="Arial"/>
          <w:color w:val="323232"/>
          <w:sz w:val="21"/>
          <w:szCs w:val="21"/>
          <w:lang w:eastAsia="tr-TR"/>
        </w:rPr>
        <w:t xml:space="preserve">ilkesinin hâkim olmasıdır. Bu ilke gücün farklı ellerde toplanmaması durumunda hak ve özgürlükleri korumanın imkânsız olacağı fikrine dayanmaktadır. Nitekim </w:t>
      </w:r>
      <w:proofErr w:type="spellStart"/>
      <w:r w:rsidRPr="00B852BB">
        <w:rPr>
          <w:rFonts w:ascii="Arial" w:eastAsia="Times New Roman" w:hAnsi="Arial" w:cs="Arial"/>
          <w:color w:val="323232"/>
          <w:sz w:val="21"/>
          <w:szCs w:val="21"/>
          <w:lang w:eastAsia="tr-TR"/>
        </w:rPr>
        <w:t>Babanzâde</w:t>
      </w:r>
      <w:proofErr w:type="spellEnd"/>
      <w:r w:rsidRPr="00B852BB">
        <w:rPr>
          <w:rFonts w:ascii="Arial" w:eastAsia="Times New Roman" w:hAnsi="Arial" w:cs="Arial"/>
          <w:color w:val="323232"/>
          <w:sz w:val="21"/>
          <w:szCs w:val="21"/>
          <w:lang w:eastAsia="tr-TR"/>
        </w:rPr>
        <w:t xml:space="preserve"> İsmail Hakkı, kuvvetler ayrılığının neredeyse “</w:t>
      </w:r>
      <w:proofErr w:type="spellStart"/>
      <w:r w:rsidRPr="00B852BB">
        <w:rPr>
          <w:rFonts w:ascii="Arial" w:eastAsia="Times New Roman" w:hAnsi="Arial" w:cs="Arial"/>
          <w:i/>
          <w:iCs/>
          <w:color w:val="323232"/>
          <w:sz w:val="21"/>
          <w:szCs w:val="21"/>
          <w:lang w:eastAsia="tr-TR"/>
        </w:rPr>
        <w:t>elfaz</w:t>
      </w:r>
      <w:proofErr w:type="spellEnd"/>
      <w:r w:rsidRPr="00B852BB">
        <w:rPr>
          <w:rFonts w:ascii="Arial" w:eastAsia="Times New Roman" w:hAnsi="Arial" w:cs="Arial"/>
          <w:i/>
          <w:iCs/>
          <w:color w:val="323232"/>
          <w:sz w:val="21"/>
          <w:szCs w:val="21"/>
          <w:lang w:eastAsia="tr-TR"/>
        </w:rPr>
        <w:t>-ı küfür</w:t>
      </w:r>
      <w:r w:rsidRPr="00B852BB">
        <w:rPr>
          <w:rFonts w:ascii="Arial" w:eastAsia="Times New Roman" w:hAnsi="Arial" w:cs="Arial"/>
          <w:color w:val="323232"/>
          <w:sz w:val="21"/>
          <w:szCs w:val="21"/>
          <w:lang w:eastAsia="tr-TR"/>
        </w:rPr>
        <w:t>” olarak algılandığı bir dönemde yazdığı bir kitapta bütün kuvvetlerin tek elde toplanmasının kaçınılmaz olarak keyfî yönetime yol açacağını ifade etmiştir.</w:t>
      </w:r>
      <w:r w:rsidR="009C46CB">
        <w:rPr>
          <w:rStyle w:val="DipnotBavurusu"/>
          <w:rFonts w:ascii="Arial" w:eastAsia="Times New Roman" w:hAnsi="Arial" w:cs="Arial"/>
          <w:color w:val="323232"/>
          <w:sz w:val="21"/>
          <w:szCs w:val="21"/>
          <w:lang w:eastAsia="tr-TR"/>
        </w:rPr>
        <w:footnoteReference w:id="4"/>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 sebeple uzun ve acı tecrübelerden sonra kuvvetler ayrılığı ilkesi modern anayasaların olmazsa olmaz unsuru hâline gelmiştir. Böylece demokratik anayasalar yasama, yürütme ve yargı erklerinin denge ve denetlemenin ötesine geçerek birbirlerinin yetki alanına müdahale etmemesini sağlamaya yönelik düzenlemelere yer vermişlerdir.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Kuvvetler ayrılığının etkili şekilde uygulanması, genelde yargının özelde anayasa yargısının bağımsızlığı bakımından zorunludur. Hangi hükûmet sistemi benimsenirse benimsensin rejimleri demokratik hukuk devleti kılan şartların başında, bağımsız ve tarafsız bir yargının varlığı gelmektedir. Yargı bağımsızlığının temel hak ve özgürlüklerin güvence altına alınabilmesinin ön şartı olduğu da artık hepimizin malumudur.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Etkili bir anayasa yargısının dâhili şartı ise anayasa mahkemelerinin </w:t>
      </w:r>
      <w:r w:rsidRPr="00B852BB">
        <w:rPr>
          <w:rFonts w:ascii="Arial" w:eastAsia="Times New Roman" w:hAnsi="Arial" w:cs="Arial"/>
          <w:i/>
          <w:iCs/>
          <w:color w:val="323232"/>
          <w:sz w:val="21"/>
          <w:szCs w:val="21"/>
          <w:lang w:eastAsia="tr-TR"/>
        </w:rPr>
        <w:t>hak eksenli</w:t>
      </w:r>
      <w:r w:rsidRPr="00B852BB">
        <w:rPr>
          <w:rFonts w:ascii="Arial" w:eastAsia="Times New Roman" w:hAnsi="Arial" w:cs="Arial"/>
          <w:color w:val="323232"/>
          <w:sz w:val="21"/>
          <w:szCs w:val="21"/>
          <w:lang w:eastAsia="tr-TR"/>
        </w:rPr>
        <w:t> paradigmayı benimsemeleridir. Hak eksenli paradigmadaki “</w:t>
      </w:r>
      <w:r w:rsidRPr="00B852BB">
        <w:rPr>
          <w:rFonts w:ascii="Arial" w:eastAsia="Times New Roman" w:hAnsi="Arial" w:cs="Arial"/>
          <w:i/>
          <w:iCs/>
          <w:color w:val="323232"/>
          <w:sz w:val="21"/>
          <w:szCs w:val="21"/>
          <w:lang w:eastAsia="tr-TR"/>
        </w:rPr>
        <w:t>hak</w:t>
      </w:r>
      <w:r w:rsidRPr="00B852BB">
        <w:rPr>
          <w:rFonts w:ascii="Arial" w:eastAsia="Times New Roman" w:hAnsi="Arial" w:cs="Arial"/>
          <w:color w:val="323232"/>
          <w:sz w:val="21"/>
          <w:szCs w:val="21"/>
          <w:lang w:eastAsia="tr-TR"/>
        </w:rPr>
        <w:t xml:space="preserve">” kelimesinin tıpkı </w:t>
      </w:r>
      <w:proofErr w:type="spellStart"/>
      <w:r w:rsidRPr="00B852BB">
        <w:rPr>
          <w:rFonts w:ascii="Arial" w:eastAsia="Times New Roman" w:hAnsi="Arial" w:cs="Arial"/>
          <w:color w:val="323232"/>
          <w:sz w:val="21"/>
          <w:szCs w:val="21"/>
          <w:lang w:eastAsia="tr-TR"/>
        </w:rPr>
        <w:t>İngilizce’deki</w:t>
      </w:r>
      <w:proofErr w:type="spellEnd"/>
      <w:r w:rsidRPr="00B852BB">
        <w:rPr>
          <w:rFonts w:ascii="Arial" w:eastAsia="Times New Roman" w:hAnsi="Arial" w:cs="Arial"/>
          <w:color w:val="323232"/>
          <w:sz w:val="21"/>
          <w:szCs w:val="21"/>
          <w:lang w:eastAsia="tr-TR"/>
        </w:rPr>
        <w:t xml:space="preserve"> “</w:t>
      </w:r>
      <w:proofErr w:type="spellStart"/>
      <w:r w:rsidRPr="00B852BB">
        <w:rPr>
          <w:rFonts w:ascii="Arial" w:eastAsia="Times New Roman" w:hAnsi="Arial" w:cs="Arial"/>
          <w:i/>
          <w:iCs/>
          <w:color w:val="323232"/>
          <w:sz w:val="21"/>
          <w:szCs w:val="21"/>
          <w:lang w:eastAsia="tr-TR"/>
        </w:rPr>
        <w:t>right</w:t>
      </w:r>
      <w:proofErr w:type="spellEnd"/>
      <w:r w:rsidRPr="00B852BB">
        <w:rPr>
          <w:rFonts w:ascii="Arial" w:eastAsia="Times New Roman" w:hAnsi="Arial" w:cs="Arial"/>
          <w:color w:val="323232"/>
          <w:sz w:val="21"/>
          <w:szCs w:val="21"/>
          <w:lang w:eastAsia="tr-TR"/>
        </w:rPr>
        <w:t>” kelimesi gibi çift anlamlı olduğunu belirtmek gerekir. Bilindiği gibi “</w:t>
      </w:r>
      <w:r w:rsidRPr="00B852BB">
        <w:rPr>
          <w:rFonts w:ascii="Arial" w:eastAsia="Times New Roman" w:hAnsi="Arial" w:cs="Arial"/>
          <w:i/>
          <w:iCs/>
          <w:color w:val="323232"/>
          <w:sz w:val="21"/>
          <w:szCs w:val="21"/>
          <w:lang w:eastAsia="tr-TR"/>
        </w:rPr>
        <w:t>hak</w:t>
      </w:r>
      <w:r w:rsidRPr="00B852BB">
        <w:rPr>
          <w:rFonts w:ascii="Arial" w:eastAsia="Times New Roman" w:hAnsi="Arial" w:cs="Arial"/>
          <w:color w:val="323232"/>
          <w:sz w:val="21"/>
          <w:szCs w:val="21"/>
          <w:lang w:eastAsia="tr-TR"/>
        </w:rPr>
        <w:t>” bir yandan “</w:t>
      </w:r>
      <w:r w:rsidRPr="00B852BB">
        <w:rPr>
          <w:rFonts w:ascii="Arial" w:eastAsia="Times New Roman" w:hAnsi="Arial" w:cs="Arial"/>
          <w:i/>
          <w:iCs/>
          <w:color w:val="323232"/>
          <w:sz w:val="21"/>
          <w:szCs w:val="21"/>
          <w:lang w:eastAsia="tr-TR"/>
        </w:rPr>
        <w:t>adalet</w:t>
      </w:r>
      <w:r w:rsidRPr="00B852BB">
        <w:rPr>
          <w:rFonts w:ascii="Arial" w:eastAsia="Times New Roman" w:hAnsi="Arial" w:cs="Arial"/>
          <w:color w:val="323232"/>
          <w:sz w:val="21"/>
          <w:szCs w:val="21"/>
          <w:lang w:eastAsia="tr-TR"/>
        </w:rPr>
        <w:t>”, diğer yandan da “</w:t>
      </w:r>
      <w:r w:rsidRPr="00B852BB">
        <w:rPr>
          <w:rFonts w:ascii="Arial" w:eastAsia="Times New Roman" w:hAnsi="Arial" w:cs="Arial"/>
          <w:i/>
          <w:iCs/>
          <w:color w:val="323232"/>
          <w:sz w:val="21"/>
          <w:szCs w:val="21"/>
          <w:lang w:eastAsia="tr-TR"/>
        </w:rPr>
        <w:t>sahip olunan şey</w:t>
      </w:r>
      <w:r w:rsidRPr="00B852BB">
        <w:rPr>
          <w:rFonts w:ascii="Arial" w:eastAsia="Times New Roman" w:hAnsi="Arial" w:cs="Arial"/>
          <w:color w:val="323232"/>
          <w:sz w:val="21"/>
          <w:szCs w:val="21"/>
          <w:lang w:eastAsia="tr-TR"/>
        </w:rPr>
        <w:t>” anlamında kullanılmaktadır. Bu bağlamda hak eksenli paradigma kelimenin iki anlamıyla da </w:t>
      </w:r>
      <w:r w:rsidRPr="00B852BB">
        <w:rPr>
          <w:rFonts w:ascii="Arial" w:eastAsia="Times New Roman" w:hAnsi="Arial" w:cs="Arial"/>
          <w:i/>
          <w:iCs/>
          <w:color w:val="323232"/>
          <w:sz w:val="21"/>
          <w:szCs w:val="21"/>
          <w:lang w:eastAsia="tr-TR"/>
        </w:rPr>
        <w:t>hak</w:t>
      </w:r>
      <w:r w:rsidRPr="00B852BB">
        <w:rPr>
          <w:rFonts w:ascii="Arial" w:eastAsia="Times New Roman" w:hAnsi="Arial" w:cs="Arial"/>
          <w:color w:val="323232"/>
          <w:sz w:val="21"/>
          <w:szCs w:val="21"/>
          <w:lang w:eastAsia="tr-TR"/>
        </w:rPr>
        <w:t>kın tespiti ve teslimini gerektirmektedir.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Başka bir ifadeyle bu paradigma anayasal adaleti sağlayarak temel hak ve özgürlükleri korumayı amaçlayan bir yargısal yaklaşımı icbar etmektedir. Bu da her şeyden önce, bir yorum topluluğunu oluşturan anayasa yargıçlarının hak eksenli yaklaşımı içselleştirmelerine bağlıdır. Unutmamak gerekir ki adalet ancak onu uygulayacak kişilerin adil olmasıyla sağlanabilir.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Ne var ki adil olmak kolay değildir. Tam da bu nedenle adaleti “</w:t>
      </w:r>
      <w:r w:rsidRPr="00B852BB">
        <w:rPr>
          <w:rFonts w:ascii="Arial" w:eastAsia="Times New Roman" w:hAnsi="Arial" w:cs="Arial"/>
          <w:i/>
          <w:iCs/>
          <w:color w:val="323232"/>
          <w:sz w:val="21"/>
          <w:szCs w:val="21"/>
          <w:lang w:eastAsia="tr-TR"/>
        </w:rPr>
        <w:t>ender rastlanan erdem</w:t>
      </w:r>
      <w:r w:rsidRPr="00B852BB">
        <w:rPr>
          <w:rFonts w:ascii="Arial" w:eastAsia="Times New Roman" w:hAnsi="Arial" w:cs="Arial"/>
          <w:color w:val="323232"/>
          <w:sz w:val="21"/>
          <w:szCs w:val="21"/>
          <w:lang w:eastAsia="tr-TR"/>
        </w:rPr>
        <w:t>” olarak gören Alman filozof Nietzsche, </w:t>
      </w:r>
      <w:r w:rsidRPr="00B852BB">
        <w:rPr>
          <w:rFonts w:ascii="Arial" w:eastAsia="Times New Roman" w:hAnsi="Arial" w:cs="Arial"/>
          <w:i/>
          <w:iCs/>
          <w:color w:val="323232"/>
          <w:sz w:val="21"/>
          <w:szCs w:val="21"/>
          <w:lang w:eastAsia="tr-TR"/>
        </w:rPr>
        <w:t>saygımızı adil olan kişiden daha fazla hak eden kimsenin bulunmadığını</w:t>
      </w:r>
      <w:r w:rsidRPr="00B852BB">
        <w:rPr>
          <w:rFonts w:ascii="Arial" w:eastAsia="Times New Roman" w:hAnsi="Arial" w:cs="Arial"/>
          <w:color w:val="323232"/>
          <w:sz w:val="21"/>
          <w:szCs w:val="21"/>
          <w:lang w:eastAsia="tr-TR"/>
        </w:rPr>
        <w:t> çünkü onda tüm erdemlerin birleşeceğini söyler. Nietzsche’ye göre bu erdemlere ve yargılama yetkisine sahip “</w:t>
      </w:r>
      <w:r w:rsidRPr="00B852BB">
        <w:rPr>
          <w:rFonts w:ascii="Arial" w:eastAsia="Times New Roman" w:hAnsi="Arial" w:cs="Arial"/>
          <w:i/>
          <w:iCs/>
          <w:color w:val="323232"/>
          <w:sz w:val="21"/>
          <w:szCs w:val="21"/>
          <w:lang w:eastAsia="tr-TR"/>
        </w:rPr>
        <w:t>adil kişinin eli, teraziyi tutarken titremez artık</w:t>
      </w:r>
      <w:r w:rsidRPr="00B852BB">
        <w:rPr>
          <w:rFonts w:ascii="Arial" w:eastAsia="Times New Roman" w:hAnsi="Arial" w:cs="Arial"/>
          <w:color w:val="323232"/>
          <w:sz w:val="21"/>
          <w:szCs w:val="21"/>
          <w:lang w:eastAsia="tr-TR"/>
        </w:rPr>
        <w:t>”.</w:t>
      </w:r>
      <w:r w:rsidR="009C46CB">
        <w:rPr>
          <w:rStyle w:val="DipnotBavurusu"/>
          <w:rFonts w:ascii="Arial" w:eastAsia="Times New Roman" w:hAnsi="Arial" w:cs="Arial"/>
          <w:color w:val="323232"/>
          <w:sz w:val="21"/>
          <w:szCs w:val="21"/>
          <w:lang w:eastAsia="tr-TR"/>
        </w:rPr>
        <w:footnoteReference w:id="5"/>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Konuşmamın bundan sonraki kısmında buraya kadar yapılan kavramsal açıklamalar ışığında Türk Anayasa Mahkemesinin 60 yılını kısaca değerlendirmek istiyorum. Bireysel başvurunun uygulamaya geçtiği 23 Eylül 2012 gününü anayasal milat olarak kabul edersek Mahkemenin tarihini ilk 50 yıl ve son 10 yıl olarak iki döneme ayırmak mümkündür.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Esasen anayasa yargısı tarihini bu şekilde ikiye ayırmak ve ikinci dönemi hak eksenli paradigmanın hâkim olduğu dönem olarak nitelemek bireysel başvuruyu ihdas eden anayasa koyucunun iradesiyle de uyumludur. Anayasa değişikliğinin gerekçesinde ve teklife ilişkin Anayasa Komisyonu Raporu’nda bireysel başvurunun Türk anayasa yargısında bir dönüm noktası olduğu açıkça ifade edilmiştir.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Anayasayı değiştiren irade değişiklik gerekçesinde bireysel başvuruyu “</w:t>
      </w:r>
      <w:r w:rsidRPr="00B852BB">
        <w:rPr>
          <w:rFonts w:ascii="Arial" w:eastAsia="Times New Roman" w:hAnsi="Arial" w:cs="Arial"/>
          <w:i/>
          <w:iCs/>
          <w:color w:val="323232"/>
          <w:sz w:val="21"/>
          <w:szCs w:val="21"/>
          <w:lang w:eastAsia="tr-TR"/>
        </w:rPr>
        <w:t xml:space="preserve">Anayasa Mahkemesine, özgürlükleri koruma ve geliştirme </w:t>
      </w:r>
      <w:proofErr w:type="spellStart"/>
      <w:r w:rsidRPr="00B852BB">
        <w:rPr>
          <w:rFonts w:ascii="Arial" w:eastAsia="Times New Roman" w:hAnsi="Arial" w:cs="Arial"/>
          <w:i/>
          <w:iCs/>
          <w:color w:val="323232"/>
          <w:sz w:val="21"/>
          <w:szCs w:val="21"/>
          <w:lang w:eastAsia="tr-TR"/>
        </w:rPr>
        <w:t>misyonu”</w:t>
      </w:r>
      <w:r w:rsidRPr="00B852BB">
        <w:rPr>
          <w:rFonts w:ascii="Arial" w:eastAsia="Times New Roman" w:hAnsi="Arial" w:cs="Arial"/>
          <w:color w:val="323232"/>
          <w:sz w:val="21"/>
          <w:szCs w:val="21"/>
          <w:lang w:eastAsia="tr-TR"/>
        </w:rPr>
        <w:t>nu</w:t>
      </w:r>
      <w:proofErr w:type="spellEnd"/>
      <w:r w:rsidRPr="00B852BB">
        <w:rPr>
          <w:rFonts w:ascii="Arial" w:eastAsia="Times New Roman" w:hAnsi="Arial" w:cs="Arial"/>
          <w:color w:val="323232"/>
          <w:sz w:val="21"/>
          <w:szCs w:val="21"/>
          <w:lang w:eastAsia="tr-TR"/>
        </w:rPr>
        <w:t xml:space="preserve"> yükleyecek bir kurum olarak değerlendirmiştir. Anayasa Komisyonu Raporu’nda da “</w:t>
      </w:r>
      <w:r w:rsidRPr="00B852BB">
        <w:rPr>
          <w:rFonts w:ascii="Arial" w:eastAsia="Times New Roman" w:hAnsi="Arial" w:cs="Arial"/>
          <w:i/>
          <w:iCs/>
          <w:color w:val="323232"/>
          <w:sz w:val="21"/>
          <w:szCs w:val="21"/>
          <w:lang w:eastAsia="tr-TR"/>
        </w:rPr>
        <w:t>bugüne kadar Devletçi anlayışla, Devleti ve sistemi koruyan” </w:t>
      </w:r>
      <w:r w:rsidRPr="00B852BB">
        <w:rPr>
          <w:rFonts w:ascii="Arial" w:eastAsia="Times New Roman" w:hAnsi="Arial" w:cs="Arial"/>
          <w:color w:val="323232"/>
          <w:sz w:val="21"/>
          <w:szCs w:val="21"/>
          <w:lang w:eastAsia="tr-TR"/>
        </w:rPr>
        <w:t>bir organ olarak</w:t>
      </w:r>
      <w:r w:rsidRPr="00B852BB">
        <w:rPr>
          <w:rFonts w:ascii="Arial" w:eastAsia="Times New Roman" w:hAnsi="Arial" w:cs="Arial"/>
          <w:i/>
          <w:iCs/>
          <w:color w:val="323232"/>
          <w:sz w:val="21"/>
          <w:szCs w:val="21"/>
          <w:lang w:eastAsia="tr-TR"/>
        </w:rPr>
        <w:t> </w:t>
      </w:r>
      <w:r w:rsidRPr="00B852BB">
        <w:rPr>
          <w:rFonts w:ascii="Arial" w:eastAsia="Times New Roman" w:hAnsi="Arial" w:cs="Arial"/>
          <w:color w:val="323232"/>
          <w:sz w:val="21"/>
          <w:szCs w:val="21"/>
          <w:lang w:eastAsia="tr-TR"/>
        </w:rPr>
        <w:t>algılanan Anayasa Mahkemesinin bireysel başvuruyla birlikte “</w:t>
      </w:r>
      <w:r w:rsidRPr="00B852BB">
        <w:rPr>
          <w:rFonts w:ascii="Arial" w:eastAsia="Times New Roman" w:hAnsi="Arial" w:cs="Arial"/>
          <w:i/>
          <w:iCs/>
          <w:color w:val="323232"/>
          <w:sz w:val="21"/>
          <w:szCs w:val="21"/>
          <w:lang w:eastAsia="tr-TR"/>
        </w:rPr>
        <w:t>artık özgürlükçü kararlar veren özgürlükleri güvenceye alan</w:t>
      </w:r>
      <w:r w:rsidRPr="00B852BB">
        <w:rPr>
          <w:rFonts w:ascii="Arial" w:eastAsia="Times New Roman" w:hAnsi="Arial" w:cs="Arial"/>
          <w:color w:val="323232"/>
          <w:sz w:val="21"/>
          <w:szCs w:val="21"/>
          <w:lang w:eastAsia="tr-TR"/>
        </w:rPr>
        <w:t>” bir mahkeme olarak algılanacağı belirtilmiştir.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Anayasa koyucu tarafından öngörüldüğü gibi bireysel başvuruyla birlikte Anayasa Mahkemesi belirgin şekilde bir paradigma değişimi yaşamış, hak eksenli bir yaklaşımla temel hak ve özgürlükleri koruyan ve geliştiren bir misyon yüklenmiştir. Nitekim Mahkememiz, bazı kararlarında hak eksenli yaklaşımın anayasa yargısına hâkim olması gerektiğini ve anayasal hükümlerin ancak bu yaklaşımla yorumlandıkları takdirde işlevlerini tam olarak yerine getirebileceklerini açıkça vurgulamıştır.</w:t>
      </w:r>
      <w:r w:rsidR="009C46CB">
        <w:rPr>
          <w:rStyle w:val="DipnotBavurusu"/>
          <w:rFonts w:ascii="Arial" w:eastAsia="Times New Roman" w:hAnsi="Arial" w:cs="Arial"/>
          <w:color w:val="323232"/>
          <w:sz w:val="21"/>
          <w:szCs w:val="21"/>
          <w:lang w:eastAsia="tr-TR"/>
        </w:rPr>
        <w:footnoteReference w:id="6"/>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Bunun yanında Anayasa Mahkemesi hak eksenli yaklaşımın bir yansıması olarak devletin temel görevinin temel hak ve özgürlükleri korumak olduğunu birçok kararında ifade etmiştir. Mahkemeye göre “</w:t>
      </w:r>
      <w:r w:rsidRPr="00B852BB">
        <w:rPr>
          <w:rFonts w:ascii="Arial" w:eastAsia="Times New Roman" w:hAnsi="Arial" w:cs="Arial"/>
          <w:i/>
          <w:iCs/>
          <w:color w:val="323232"/>
          <w:sz w:val="21"/>
          <w:szCs w:val="21"/>
          <w:lang w:eastAsia="tr-TR"/>
        </w:rPr>
        <w:t>Demokrasilerde devlete düşen görev, temel hak ve özgürlükleri korumak ve geliştirmek, bunların etkili şekilde kullanılmasını sağlayacak tedbirleri almaktır</w:t>
      </w:r>
      <w:r w:rsidRPr="00B852BB">
        <w:rPr>
          <w:rFonts w:ascii="Arial" w:eastAsia="Times New Roman" w:hAnsi="Arial" w:cs="Arial"/>
          <w:color w:val="323232"/>
          <w:sz w:val="21"/>
          <w:szCs w:val="21"/>
          <w:lang w:eastAsia="tr-TR"/>
        </w:rPr>
        <w:t>.”</w:t>
      </w:r>
      <w:r w:rsidR="009C46CB">
        <w:rPr>
          <w:rStyle w:val="DipnotBavurusu"/>
          <w:rFonts w:ascii="Arial" w:eastAsia="Times New Roman" w:hAnsi="Arial" w:cs="Arial"/>
          <w:color w:val="323232"/>
          <w:sz w:val="21"/>
          <w:szCs w:val="21"/>
          <w:lang w:eastAsia="tr-TR"/>
        </w:rPr>
        <w:footnoteReference w:id="7"/>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xml:space="preserve">Diğer yandan Mahkememiz, temel hak ve özgürlükleri korumaya çalışırken güvenliği bir kenara bırakmamaktadır. Mahkeme bazı istisnaları olmakla birlikte temel hak ve özgürlüklerin mutlak olmadığını; Anayasa’da öngörüldüğü üzere kamu yararı, kamu düzeni ve güvenliği, başkalarının hak ve özgürlüklerinin korunması gibi sebeplerle sınırlandırılabileceğini de belirtmektedir. Anayasa Mahkemesi bilhassa kamu güvenliği ile özgürlükler arasında hassas bir dengeleme yapmakta, Mevlâna </w:t>
      </w:r>
      <w:proofErr w:type="spellStart"/>
      <w:r w:rsidRPr="00B852BB">
        <w:rPr>
          <w:rFonts w:ascii="Arial" w:eastAsia="Times New Roman" w:hAnsi="Arial" w:cs="Arial"/>
          <w:color w:val="323232"/>
          <w:sz w:val="21"/>
          <w:szCs w:val="21"/>
          <w:lang w:eastAsia="tr-TR"/>
        </w:rPr>
        <w:t>Celâleddin</w:t>
      </w:r>
      <w:proofErr w:type="spellEnd"/>
      <w:r w:rsidRPr="00B852BB">
        <w:rPr>
          <w:rFonts w:ascii="Arial" w:eastAsia="Times New Roman" w:hAnsi="Arial" w:cs="Arial"/>
          <w:color w:val="323232"/>
          <w:sz w:val="21"/>
          <w:szCs w:val="21"/>
          <w:lang w:eastAsia="tr-TR"/>
        </w:rPr>
        <w:t xml:space="preserve"> </w:t>
      </w:r>
      <w:proofErr w:type="spellStart"/>
      <w:r w:rsidRPr="00B852BB">
        <w:rPr>
          <w:rFonts w:ascii="Arial" w:eastAsia="Times New Roman" w:hAnsi="Arial" w:cs="Arial"/>
          <w:color w:val="323232"/>
          <w:sz w:val="21"/>
          <w:szCs w:val="21"/>
          <w:lang w:eastAsia="tr-TR"/>
        </w:rPr>
        <w:t>Rûmi’nin</w:t>
      </w:r>
      <w:proofErr w:type="spellEnd"/>
      <w:r w:rsidRPr="00B852BB">
        <w:rPr>
          <w:rFonts w:ascii="Arial" w:eastAsia="Times New Roman" w:hAnsi="Arial" w:cs="Arial"/>
          <w:color w:val="323232"/>
          <w:sz w:val="21"/>
          <w:szCs w:val="21"/>
          <w:lang w:eastAsia="tr-TR"/>
        </w:rPr>
        <w:t xml:space="preserve"> asırlar önce ifade ettiği gibi adaletin tecellisi için </w:t>
      </w:r>
      <w:r w:rsidRPr="00B852BB">
        <w:rPr>
          <w:rFonts w:ascii="Arial" w:eastAsia="Times New Roman" w:hAnsi="Arial" w:cs="Arial"/>
          <w:i/>
          <w:iCs/>
          <w:color w:val="323232"/>
          <w:sz w:val="21"/>
          <w:szCs w:val="21"/>
          <w:lang w:eastAsia="tr-TR"/>
        </w:rPr>
        <w:t>her şeyi yerli yerine koyma</w:t>
      </w:r>
      <w:r w:rsidRPr="00B852BB">
        <w:rPr>
          <w:rFonts w:ascii="Arial" w:eastAsia="Times New Roman" w:hAnsi="Arial" w:cs="Arial"/>
          <w:color w:val="323232"/>
          <w:sz w:val="21"/>
          <w:szCs w:val="21"/>
          <w:lang w:eastAsia="tr-TR"/>
        </w:rPr>
        <w:t>ya gayret göstermektedir.</w:t>
      </w:r>
      <w:r w:rsidR="009C46CB">
        <w:rPr>
          <w:rStyle w:val="DipnotBavurusu"/>
          <w:rFonts w:ascii="Arial" w:eastAsia="Times New Roman" w:hAnsi="Arial" w:cs="Arial"/>
          <w:color w:val="323232"/>
          <w:sz w:val="21"/>
          <w:szCs w:val="21"/>
          <w:lang w:eastAsia="tr-TR"/>
        </w:rPr>
        <w:footnoteReference w:id="8"/>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Bundan tam yedi yıl önce, sizlerin de teşrif ettiği 53. kuruluş yıldönümü töreninde, yine bu salonda yaptığım ilk konuşmada Anayasa Mahkemesinin paradigma değişimi sürecinin henüz başında bulunduğunu, alınacak çok mesafe olduğunu, bu değişimin tamamlanması ve istikrarlı bir hâle getirilmesi gerektiğini ifade etmiştim. Bu beyan aynı zamanda başkan olarak sorumluluk üstlendiğimiz dönemin de istikametini yansıtmaktaydı.</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Geldiğimiz aşamada bireysel başvuruyla başlayan paradigma değişiminin norm denetimini de içine alacak şekilde önemli ölçüde gerçekleştiğini memnuniyetle ifade etmek isterim. Anayasa Mahkemesi hem norm denetiminde hem de bireysel başvuruda hak eksenli yaklaşımla Türk hukuk pratiğine yön verecek nitelikte kararlar almıştır ve almaya devam etmektedir. Bu kararlar bir yandan hukuk düzeninin Anayasa ile uyumlu hâle gelmesini sağlamış diğer yandan da temel hak ve özgürlüklerin koruma alanını genişleterek standartları yükseltmiştir.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Mahkemenin benimsediği hak eksenli paradigma Anayasa hükümlerinin temel hak ve özgürlükler lehine yorumlanması sonucunu doğurmuştur. Bunun uygulamaya iki şekilde yansıdığını söyleyebiliriz. Birincisi yeni paradigmanın hâkim olmasıyla birlikte kuvvetler ayrılığı, hukuk devleti, laiklik ve demokratik devlet gibi devletin yapısına ve işleyişine ilişkin anayasal ilkeler özgürlükçü bir yaklaşımla ele alınmıştır.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xml:space="preserve">İkinci olarak da temel hak ve özgürlüklere dair anayasal hükümler bu hak ve özgürlüklerin güvence alanını genişletici şekilde yorumlanmıştır. Bununla birlikte belirtmek gerekir ki Anayasa Mahkemesi anayasal ilke ve kuralları hak eksenli bir yaklaşımla yorumlarken meşruiyetini sorgulatacak nitelikte bir yargısal aktivizmden ve </w:t>
      </w:r>
      <w:proofErr w:type="spellStart"/>
      <w:r w:rsidRPr="00B852BB">
        <w:rPr>
          <w:rFonts w:ascii="Arial" w:eastAsia="Times New Roman" w:hAnsi="Arial" w:cs="Arial"/>
          <w:color w:val="323232"/>
          <w:sz w:val="21"/>
          <w:szCs w:val="21"/>
          <w:lang w:eastAsia="tr-TR"/>
        </w:rPr>
        <w:t>jüristokratik</w:t>
      </w:r>
      <w:proofErr w:type="spellEnd"/>
      <w:r w:rsidRPr="00B852BB">
        <w:rPr>
          <w:rFonts w:ascii="Arial" w:eastAsia="Times New Roman" w:hAnsi="Arial" w:cs="Arial"/>
          <w:color w:val="323232"/>
          <w:sz w:val="21"/>
          <w:szCs w:val="21"/>
          <w:lang w:eastAsia="tr-TR"/>
        </w:rPr>
        <w:t xml:space="preserve"> davranışlardan da özenle kaçınmıştır.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 aşamada hak eksenli paradigmanın anayasal ilkeler ve hükümlerin yorumlanmasına yönelik yansımalarını bazı kararlar üzerinden somutlaştırmanın faydalı olacağını düşünüyorum.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Türk anayasa yargısındaki paradigma dönüşümünün laiklik ilkesinin özgürlükçü yorumuyla başladığını söylemek yanlış olmayacaktır. Anayasa Mahkemesi bireysel başvurunun başlamasından sadece üç gün önce, 20 Eylül 2012 tarihinde verdiği bir kararda, o döneme kadar yargısal paradigmaya hâkim olan ve daha ziyade yasakları meşrulaştırıcı bir işlev gören katı pozitivist laiklik anlayışını terk etmiş; bunun yerine din ve vicdan özgürlüğünü güvenceye alan esnek ve özgürlükçü laiklik yorumunu benimsemiştir.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Mahkeme bu kararında laiklik ilkesinin dini bireyin iç dünyasına hapsetmediğini, din ve inancın toplumsal görünürlüğüne imkân tanıdığını ve bunu güvenceye aldığını belirtmiştir. Mahkemeye göre </w:t>
      </w:r>
      <w:r w:rsidRPr="00B852BB">
        <w:rPr>
          <w:rFonts w:ascii="Arial" w:eastAsia="Times New Roman" w:hAnsi="Arial" w:cs="Arial"/>
          <w:i/>
          <w:iCs/>
          <w:color w:val="323232"/>
          <w:sz w:val="21"/>
          <w:szCs w:val="21"/>
          <w:lang w:eastAsia="tr-TR"/>
        </w:rPr>
        <w:t>“Laik bir siyasal sistemde, dini konulardaki bireysel tercihler ve bunların şekillendirdiği yaşam tarzı devletin müdahalesi dışında ancak, koruması altındadır… Demokratik ve laik devletin temel amaçlarından biri, toplumsal çeşitliliği koruyarak bireylerin ve toplulukların sahip oldukları inançlarıyla barış içinde bir arada yaşayabilecekleri bir hukuksal ve siyasal düzeni tesis etmektir”.</w:t>
      </w:r>
      <w:r w:rsidR="009C46CB">
        <w:rPr>
          <w:rStyle w:val="DipnotBavurusu"/>
          <w:rFonts w:ascii="Arial" w:eastAsia="Times New Roman" w:hAnsi="Arial" w:cs="Arial"/>
          <w:i/>
          <w:iCs/>
          <w:color w:val="323232"/>
          <w:sz w:val="21"/>
          <w:szCs w:val="21"/>
          <w:lang w:eastAsia="tr-TR"/>
        </w:rPr>
        <w:footnoteReference w:id="9"/>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laikliğin hak eksenli yorumuyla “</w:t>
      </w:r>
      <w:r w:rsidRPr="00B852BB">
        <w:rPr>
          <w:rFonts w:ascii="Arial" w:eastAsia="Times New Roman" w:hAnsi="Arial" w:cs="Arial"/>
          <w:i/>
          <w:iCs/>
          <w:color w:val="323232"/>
          <w:sz w:val="21"/>
          <w:szCs w:val="21"/>
          <w:lang w:eastAsia="tr-TR"/>
        </w:rPr>
        <w:t>Kur’an-ı Kerim”</w:t>
      </w:r>
      <w:r w:rsidRPr="00B852BB">
        <w:rPr>
          <w:rFonts w:ascii="Arial" w:eastAsia="Times New Roman" w:hAnsi="Arial" w:cs="Arial"/>
          <w:color w:val="323232"/>
          <w:sz w:val="21"/>
          <w:szCs w:val="21"/>
          <w:lang w:eastAsia="tr-TR"/>
        </w:rPr>
        <w:t> ve “</w:t>
      </w:r>
      <w:r w:rsidRPr="00B852BB">
        <w:rPr>
          <w:rFonts w:ascii="Arial" w:eastAsia="Times New Roman" w:hAnsi="Arial" w:cs="Arial"/>
          <w:i/>
          <w:iCs/>
          <w:color w:val="323232"/>
          <w:sz w:val="21"/>
          <w:szCs w:val="21"/>
          <w:lang w:eastAsia="tr-TR"/>
        </w:rPr>
        <w:t>Hz. Peygamberimizin Hayatı</w:t>
      </w:r>
      <w:r w:rsidRPr="00B852BB">
        <w:rPr>
          <w:rFonts w:ascii="Arial" w:eastAsia="Times New Roman" w:hAnsi="Arial" w:cs="Arial"/>
          <w:color w:val="323232"/>
          <w:sz w:val="21"/>
          <w:szCs w:val="21"/>
          <w:lang w:eastAsia="tr-TR"/>
        </w:rPr>
        <w:t>” derslerinin ortaokul ve liselerde isteğe bağlı seçmeli ders olarak okutulmasını Anayasa’ya uygun bulmuştur. Mahkeme aynı yaklaşımla kişilere seçenek sunan il ve ilçe müftülüklerine evlendirme yetkisi verilmesine ilişkin kuralın da laikliğe aykırı olmadığını, aksine evlenmenin dinî töreninin yapılmasını kolaylaştırmak suretiyle bireylerin din ve vicdan özgürlüğünü koruyucu bir işlev gördüğünü vurgulamıştır.</w:t>
      </w:r>
      <w:r w:rsidR="009C46CB">
        <w:rPr>
          <w:rStyle w:val="DipnotBavurusu"/>
          <w:rFonts w:ascii="Arial" w:eastAsia="Times New Roman" w:hAnsi="Arial" w:cs="Arial"/>
          <w:color w:val="323232"/>
          <w:sz w:val="21"/>
          <w:szCs w:val="21"/>
          <w:lang w:eastAsia="tr-TR"/>
        </w:rPr>
        <w:footnoteReference w:id="10"/>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Özgürlükçü laiklik yorumunun belki de en bariz yansıması başörtüsüne yönelik yasakların hak ihlali teşkil ettiğine dair bireysel başvuru kararlarında görülebilir. Mahkememizin hak eksenli laiklik yorumuna göre kişilerin dinî inançları gereği taktıkları başörtüsü, Anayasa’nın 24. maddesinde korunan din ve vicdan özgürlüğünün güvencesi altındadır. Bu kapsamda duruşma salonundan başörtülü olduğu için çıkarılan avukatın başvurusunda din özgürlüğünün ve ayrımcılık yasağının ihlaline karar verilmiştir.</w:t>
      </w:r>
      <w:r w:rsidR="009C46CB">
        <w:rPr>
          <w:rStyle w:val="DipnotBavurusu"/>
          <w:rFonts w:ascii="Arial" w:eastAsia="Times New Roman" w:hAnsi="Arial" w:cs="Arial"/>
          <w:color w:val="323232"/>
          <w:sz w:val="21"/>
          <w:szCs w:val="21"/>
          <w:lang w:eastAsia="tr-TR"/>
        </w:rPr>
        <w:footnoteReference w:id="11"/>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Aynı şekilde başörtüsü yasağı nedeniyle üniversiteden ilişiği kesilen öğrencinin almış olduğu bursları iade etmek zorunda kalması da din özgürlüğü ve eğitim hakkının ihlali olarak görülmüştür. Her iki kararda da Mahkeme, temel hak ve özgürlüklerin ancak kanunla sınırlanabileceğini, başörtüsünü yasaklayan herhangi bir kanun hükmü olmadığını, ayrıca Anayasa Mahkemesinin ve Avrupa İnsan Hakları Mahkemesinin önceki kararlarının yasaklamalara </w:t>
      </w:r>
      <w:r w:rsidRPr="00B852BB">
        <w:rPr>
          <w:rFonts w:ascii="Arial" w:eastAsia="Times New Roman" w:hAnsi="Arial" w:cs="Arial"/>
          <w:i/>
          <w:iCs/>
          <w:color w:val="323232"/>
          <w:sz w:val="21"/>
          <w:szCs w:val="21"/>
          <w:lang w:eastAsia="tr-TR"/>
        </w:rPr>
        <w:t>kanuni</w:t>
      </w:r>
      <w:r w:rsidRPr="00B852BB">
        <w:rPr>
          <w:rFonts w:ascii="Arial" w:eastAsia="Times New Roman" w:hAnsi="Arial" w:cs="Arial"/>
          <w:color w:val="323232"/>
          <w:sz w:val="21"/>
          <w:szCs w:val="21"/>
          <w:lang w:eastAsia="tr-TR"/>
        </w:rPr>
        <w:t> dayanak olamayacağını belirterek ihlal sonucuna ulaşmıştır.</w:t>
      </w:r>
      <w:r w:rsidR="009C46CB">
        <w:rPr>
          <w:rStyle w:val="DipnotBavurusu"/>
          <w:rFonts w:ascii="Arial" w:eastAsia="Times New Roman" w:hAnsi="Arial" w:cs="Arial"/>
          <w:color w:val="323232"/>
          <w:sz w:val="21"/>
          <w:szCs w:val="21"/>
          <w:lang w:eastAsia="tr-TR"/>
        </w:rPr>
        <w:footnoteReference w:id="12"/>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Diğer yandan Anayasa Mahkemesi, devletin bir azınlık cemaatinin dinî liderini seçme konusunda kendi içinde yaşadığı anlaşmazlıklara zorlayıcı bir toplumsal ihtiyaç olmaksızın müdahale etmemesi gerektiğini belirtmiştir. Bu kapsamda yapılan bireysel başvuruda dinî cemaat içinde bir grubun seçim talebinin idare tarafından reddedilmesi başvurucuların din özgürlüğünün ihlali olarak değerlendirilmiştir.</w:t>
      </w:r>
      <w:r w:rsidR="009C46CB">
        <w:rPr>
          <w:rStyle w:val="DipnotBavurusu"/>
          <w:rFonts w:ascii="Arial" w:eastAsia="Times New Roman" w:hAnsi="Arial" w:cs="Arial"/>
          <w:color w:val="323232"/>
          <w:sz w:val="21"/>
          <w:szCs w:val="21"/>
          <w:lang w:eastAsia="tr-TR"/>
        </w:rPr>
        <w:footnoteReference w:id="13"/>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Kısacası Anayasa Mahkemesi, hak eksenli yaklaşımla laikliği belli bir inancı veya onun pratiğini yasaklayan uygulamaları da kişileri buna zorlayan müdahaleleri de aynı ölçüde dışlayan, ayrıca kişilerin engellemelere maruz kalmadan dinî inançlarının gereklerine göre yaşayabilmelerini güvence altına alan bir anayasal ilke olarak yorumlamıştır. Bunun sonucu olarak da daha önce temel hak ve özgürlükleri sınırlamanın gerekçesi olarak kullanılan laiklik ilkesi yeni dönemde bunların güvencesi olarak yorumlanıp uygulanmıştır.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Benzer bir durum </w:t>
      </w:r>
      <w:r w:rsidRPr="00B852BB">
        <w:rPr>
          <w:rFonts w:ascii="Arial" w:eastAsia="Times New Roman" w:hAnsi="Arial" w:cs="Arial"/>
          <w:i/>
          <w:iCs/>
          <w:color w:val="323232"/>
          <w:sz w:val="21"/>
          <w:szCs w:val="21"/>
          <w:lang w:eastAsia="tr-TR"/>
        </w:rPr>
        <w:t>demokratik devlet</w:t>
      </w:r>
      <w:r w:rsidRPr="00B852BB">
        <w:rPr>
          <w:rFonts w:ascii="Arial" w:eastAsia="Times New Roman" w:hAnsi="Arial" w:cs="Arial"/>
          <w:color w:val="323232"/>
          <w:sz w:val="21"/>
          <w:szCs w:val="21"/>
          <w:lang w:eastAsia="tr-TR"/>
        </w:rPr>
        <w:t> ilkesi için de geçerlidir. Anayasa Mahkemesi gerek Anayasa’nın 2. maddesinde korunan demokratik devlet ilkesini gerekse 13. maddesinde sınırlama ölçütü olarak yer alan “</w:t>
      </w:r>
      <w:r w:rsidRPr="00B852BB">
        <w:rPr>
          <w:rFonts w:ascii="Arial" w:eastAsia="Times New Roman" w:hAnsi="Arial" w:cs="Arial"/>
          <w:i/>
          <w:iCs/>
          <w:color w:val="323232"/>
          <w:sz w:val="21"/>
          <w:szCs w:val="21"/>
          <w:lang w:eastAsia="tr-TR"/>
        </w:rPr>
        <w:t>demokratik toplum düzeninin gerekleri</w:t>
      </w:r>
      <w:r w:rsidRPr="00B852BB">
        <w:rPr>
          <w:rFonts w:ascii="Arial" w:eastAsia="Times New Roman" w:hAnsi="Arial" w:cs="Arial"/>
          <w:color w:val="323232"/>
          <w:sz w:val="21"/>
          <w:szCs w:val="21"/>
          <w:lang w:eastAsia="tr-TR"/>
        </w:rPr>
        <w:t>” kavramını hak eksenli şekilde yorumlamaktadır. Mahkemeye göre demokrasi, kişilerin temel hak ve özgürlüklerini en geniş şekilde güvence altına alan bir hukuksal ve siyasal düzeni gerektirmektedir.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Demokratik hukuk düzeninde özgürlük esas, sınırlama istisnadır. Anayasa Mahkemesinin bilhassa ifade özgürlüğü bağlamında sıklıkla vurguladığı gibi “</w:t>
      </w:r>
      <w:r w:rsidRPr="00B852BB">
        <w:rPr>
          <w:rFonts w:ascii="Arial" w:eastAsia="Times New Roman" w:hAnsi="Arial" w:cs="Arial"/>
          <w:i/>
          <w:iCs/>
          <w:color w:val="323232"/>
          <w:sz w:val="21"/>
          <w:szCs w:val="21"/>
          <w:lang w:eastAsia="tr-TR"/>
        </w:rPr>
        <w:t xml:space="preserve">Anayasa’nın 13. maddesinde ifadesini </w:t>
      </w:r>
      <w:r w:rsidRPr="00B852BB">
        <w:rPr>
          <w:rFonts w:ascii="Arial" w:eastAsia="Times New Roman" w:hAnsi="Arial" w:cs="Arial"/>
          <w:i/>
          <w:iCs/>
          <w:color w:val="323232"/>
          <w:sz w:val="21"/>
          <w:szCs w:val="21"/>
          <w:lang w:eastAsia="tr-TR"/>
        </w:rPr>
        <w:lastRenderedPageBreak/>
        <w:t>bulan demokratik toplum düzeninin gerekleri kavramı; anayasal bir özgürlük üzerindeki sınırlamaların zorunlu ya da istisnai tedbir niteliğinde olmasını, başvurulabilecek en son çare ya da alınabilecek en son önlem olarak kendini göstermesini gerektirmektedir”.</w:t>
      </w:r>
      <w:r w:rsidR="009C46CB">
        <w:rPr>
          <w:rStyle w:val="DipnotBavurusu"/>
          <w:rFonts w:ascii="Arial" w:eastAsia="Times New Roman" w:hAnsi="Arial" w:cs="Arial"/>
          <w:i/>
          <w:iCs/>
          <w:color w:val="323232"/>
          <w:sz w:val="21"/>
          <w:szCs w:val="21"/>
          <w:lang w:eastAsia="tr-TR"/>
        </w:rPr>
        <w:footnoteReference w:id="14"/>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anayasal ilkeleri özgürlükçü yorumlamanın yanında temel haklara ilişkin anayasal hükümleri de bunların koruma alanını genişletecek şekilde yorumlama yoluna gitmiştir. Sözgelimi Anayasa’nın 38. maddesinde lehe olan ceza hükümlerinin geçmişe yürütülmesi gerektiğine dair açık bir düzenlemeye yer verilmediği hâlde hak eksenli bir yorumla lehe düzenlemelerin geçmişe yürütülmesi gerektiğine karar verilmiştir.</w:t>
      </w:r>
      <w:r w:rsidR="009C46CB">
        <w:rPr>
          <w:rStyle w:val="DipnotBavurusu"/>
          <w:rFonts w:ascii="Arial" w:eastAsia="Times New Roman" w:hAnsi="Arial" w:cs="Arial"/>
          <w:color w:val="323232"/>
          <w:sz w:val="21"/>
          <w:szCs w:val="21"/>
          <w:lang w:eastAsia="tr-TR"/>
        </w:rPr>
        <w:footnoteReference w:id="15"/>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Benzer şekilde Anayasa’da </w:t>
      </w:r>
      <w:r w:rsidRPr="00B852BB">
        <w:rPr>
          <w:rFonts w:ascii="Arial" w:eastAsia="Times New Roman" w:hAnsi="Arial" w:cs="Arial"/>
          <w:i/>
          <w:iCs/>
          <w:color w:val="323232"/>
          <w:sz w:val="21"/>
          <w:szCs w:val="21"/>
          <w:lang w:eastAsia="tr-TR"/>
        </w:rPr>
        <w:t>aynı fiilden dolayı birden fazla yargılanmama veya cezalandırılmama</w:t>
      </w:r>
      <w:r w:rsidRPr="00B852BB">
        <w:rPr>
          <w:rFonts w:ascii="Arial" w:eastAsia="Times New Roman" w:hAnsi="Arial" w:cs="Arial"/>
          <w:color w:val="323232"/>
          <w:sz w:val="21"/>
          <w:szCs w:val="21"/>
          <w:lang w:eastAsia="tr-TR"/>
        </w:rPr>
        <w:t> (</w:t>
      </w:r>
      <w:r w:rsidRPr="00B852BB">
        <w:rPr>
          <w:rFonts w:ascii="Arial" w:eastAsia="Times New Roman" w:hAnsi="Arial" w:cs="Arial"/>
          <w:i/>
          <w:iCs/>
          <w:color w:val="323232"/>
          <w:sz w:val="21"/>
          <w:szCs w:val="21"/>
          <w:lang w:eastAsia="tr-TR"/>
        </w:rPr>
        <w:t xml:space="preserve">ne </w:t>
      </w:r>
      <w:proofErr w:type="spellStart"/>
      <w:r w:rsidRPr="00B852BB">
        <w:rPr>
          <w:rFonts w:ascii="Arial" w:eastAsia="Times New Roman" w:hAnsi="Arial" w:cs="Arial"/>
          <w:i/>
          <w:iCs/>
          <w:color w:val="323232"/>
          <w:sz w:val="21"/>
          <w:szCs w:val="21"/>
          <w:lang w:eastAsia="tr-TR"/>
        </w:rPr>
        <w:t>bis</w:t>
      </w:r>
      <w:proofErr w:type="spellEnd"/>
      <w:r w:rsidRPr="00B852BB">
        <w:rPr>
          <w:rFonts w:ascii="Arial" w:eastAsia="Times New Roman" w:hAnsi="Arial" w:cs="Arial"/>
          <w:i/>
          <w:iCs/>
          <w:color w:val="323232"/>
          <w:sz w:val="21"/>
          <w:szCs w:val="21"/>
          <w:lang w:eastAsia="tr-TR"/>
        </w:rPr>
        <w:t xml:space="preserve"> in idem</w:t>
      </w:r>
      <w:r w:rsidRPr="00B852BB">
        <w:rPr>
          <w:rFonts w:ascii="Arial" w:eastAsia="Times New Roman" w:hAnsi="Arial" w:cs="Arial"/>
          <w:color w:val="323232"/>
          <w:sz w:val="21"/>
          <w:szCs w:val="21"/>
          <w:lang w:eastAsia="tr-TR"/>
        </w:rPr>
        <w:t>)</w:t>
      </w:r>
      <w:r w:rsidRPr="00B852BB">
        <w:rPr>
          <w:rFonts w:ascii="Arial" w:eastAsia="Times New Roman" w:hAnsi="Arial" w:cs="Arial"/>
          <w:i/>
          <w:iCs/>
          <w:color w:val="323232"/>
          <w:sz w:val="21"/>
          <w:szCs w:val="21"/>
          <w:lang w:eastAsia="tr-TR"/>
        </w:rPr>
        <w:t> ilkesi</w:t>
      </w:r>
      <w:r w:rsidRPr="00B852BB">
        <w:rPr>
          <w:rFonts w:ascii="Arial" w:eastAsia="Times New Roman" w:hAnsi="Arial" w:cs="Arial"/>
          <w:color w:val="323232"/>
          <w:sz w:val="21"/>
          <w:szCs w:val="21"/>
          <w:lang w:eastAsia="tr-TR"/>
        </w:rPr>
        <w:t> açıkça düzenlenmediği hâlde Mahkememiz bu ilkeyi Anayasa’nın 36. maddesinde düzenlenen adil yargılanma hakkının bir unsuru olarak görmüş ve buna ilişkin uyulması gereken anayasal ilkeleri belirlemiştir.</w:t>
      </w:r>
      <w:r w:rsidR="009C46CB">
        <w:rPr>
          <w:rStyle w:val="DipnotBavurusu"/>
          <w:rFonts w:ascii="Arial" w:eastAsia="Times New Roman" w:hAnsi="Arial" w:cs="Arial"/>
          <w:color w:val="323232"/>
          <w:sz w:val="21"/>
          <w:szCs w:val="21"/>
          <w:lang w:eastAsia="tr-TR"/>
        </w:rPr>
        <w:footnoteReference w:id="16"/>
      </w:r>
      <w:r w:rsidRPr="00B852BB">
        <w:rPr>
          <w:rFonts w:ascii="Arial" w:eastAsia="Times New Roman" w:hAnsi="Arial" w:cs="Arial"/>
          <w:color w:val="323232"/>
          <w:sz w:val="21"/>
          <w:szCs w:val="21"/>
          <w:lang w:eastAsia="tr-TR"/>
        </w:rPr>
        <w:t> Yine bu kapsamda Anayasa Mahkemesi yakın tarihli kararlarında Anayasa’nın 70. maddesinde öngörülen kamu hizmetine girme hakkının sadece göreve alınma sırasında değil kamu hizmetinde bulunma ve ayrılma sırasında da geçerli olduğuna hükmetmiştir.</w:t>
      </w:r>
      <w:r w:rsidR="009C46CB">
        <w:rPr>
          <w:rStyle w:val="DipnotBavurusu"/>
          <w:rFonts w:ascii="Arial" w:eastAsia="Times New Roman" w:hAnsi="Arial" w:cs="Arial"/>
          <w:color w:val="323232"/>
          <w:sz w:val="21"/>
          <w:szCs w:val="21"/>
          <w:lang w:eastAsia="tr-TR"/>
        </w:rPr>
        <w:footnoteReference w:id="17"/>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Bunun dışında Anayasa Mahkemesi, sözgelimi ifade ve basın özgürlüklerinin, toplantı ve gösteri yürüyüşü düzenleme hakkının, grev hakkı, sendika kurma ile toplu iş sözleşmesi ve toplu sözleşme haklarının etkili bir şekilde korunmasını sağlayan, gerçek olmayan değer üzerinden kamulaştırma yapılmasını ve kamulaştırmasız el atmaları engelleyen, çevrenin ve kültür varlıklarının korunması yönündeki devletin pozitif yükümlülükleri ile bağdaşmayan kuralların hukuk dünyasından ayıklanmasını sağlayan çok önemli kararlar vermiştir.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xml:space="preserve">Hiç kuşkusuz son 10 yılda yaşanan </w:t>
      </w:r>
      <w:proofErr w:type="spellStart"/>
      <w:r w:rsidRPr="00B852BB">
        <w:rPr>
          <w:rFonts w:ascii="Arial" w:eastAsia="Times New Roman" w:hAnsi="Arial" w:cs="Arial"/>
          <w:color w:val="323232"/>
          <w:sz w:val="21"/>
          <w:szCs w:val="21"/>
          <w:lang w:eastAsia="tr-TR"/>
        </w:rPr>
        <w:t>paradigmatik</w:t>
      </w:r>
      <w:proofErr w:type="spellEnd"/>
      <w:r w:rsidRPr="00B852BB">
        <w:rPr>
          <w:rFonts w:ascii="Arial" w:eastAsia="Times New Roman" w:hAnsi="Arial" w:cs="Arial"/>
          <w:color w:val="323232"/>
          <w:sz w:val="21"/>
          <w:szCs w:val="21"/>
          <w:lang w:eastAsia="tr-TR"/>
        </w:rPr>
        <w:t xml:space="preserve"> dönüşümü yansıtan kararların tamamına değinmek bu konuşmanın sınırlarını aşacaktır. Bu nedenle sabrınızı zorlamadan sadece ifade etmek isterim ki bu dönemin içtihat birikimi kapsamında geliştirilen anayasal ilkelerin temas etmediği herhangi bir toplum kesimi ve hukuki bir mesele neredeyse kalmamıştır.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xml:space="preserve">Gerçekten de Mahkememiz kadın ve çocuklardan ebeveynlere, gazeteciler ve siyasetçilerden sanatçılara, çalışanlar, emekliler ve iş insanlarından sendikacılara, hükümlüler ve göçmenlerden </w:t>
      </w:r>
      <w:r w:rsidRPr="00B852BB">
        <w:rPr>
          <w:rFonts w:ascii="Arial" w:eastAsia="Times New Roman" w:hAnsi="Arial" w:cs="Arial"/>
          <w:color w:val="323232"/>
          <w:sz w:val="21"/>
          <w:szCs w:val="21"/>
          <w:lang w:eastAsia="tr-TR"/>
        </w:rPr>
        <w:lastRenderedPageBreak/>
        <w:t>dinî azınlıklara kadar hemen her toplumsal kesimin anayasal hak ve özgürlüklerini koruyan kararlara imza atmıştır. Anayasa Mahkemesi bu kararların bir kısmında ülkemizin sosyal, ekonomik ve siyasal durumu ile güvenliği bakımından önemli sonuçlar doğuran olaylar ve davaları da ele almış, bu kapsamda yapılan bireysel başvuruları ve tedbir taleplerini karara bağlamıştır.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Kısacası yukarıda bir kısmını zikrettiğim kararlarla Anayasa Mahkemesi, bu dönemde anayasa koyucunun hedeflediği şekilde hak eksenli paradigmayı benimseyerek özgürlükçü perspektifle hareket eden bir mahkemeye dönüşmüştür.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Türk Anayasa Mahkemesinin hak eksenli paradigmayı hayata geçirmesi bir iyi uygulama örneği ve başarı hikâyesidir. Üstelik bu değişimin ülkemizin son 10 yılında yaşadığı olağanüstü şartlar ve zorluklara rağmen gerçekleştiği dikkate alındığında söz konusu başarının boyutları daha iyi anlaşılabilecektir.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 bağlamda 15 Temmuz 2016’da gerçekleşen darbe teşebbüsü sonrasında yaşanan olağanüstü hâl şartlarını bilhassa zikretmek gerekir. Mahkememiz bir yandan alınan tedbirlere ilişkin olarak sayısı 100 bini aşan bireysel başvuru yüküyle diğer yandan da etkileri devam etmekte olan oldukça çetrefil hukuki meselelerle başa çıkabilmiştir.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bu dönemde temel hak ve özgürlüklere yapılan müdahalelerin anayasal denetimine ilişkin temel ilkeleri belirlemiş ve FETÖ/PDY yapılanmasını ayrıntılı olarak incelemiştir. Bu temel ilke ve esaslar çerçevesinde tutuklamalar, pasaport iptalleri, </w:t>
      </w:r>
      <w:proofErr w:type="spellStart"/>
      <w:r w:rsidRPr="00B852BB">
        <w:rPr>
          <w:rFonts w:ascii="Arial" w:eastAsia="Times New Roman" w:hAnsi="Arial" w:cs="Arial"/>
          <w:i/>
          <w:iCs/>
          <w:color w:val="323232"/>
          <w:sz w:val="21"/>
          <w:szCs w:val="21"/>
          <w:lang w:eastAsia="tr-TR"/>
        </w:rPr>
        <w:t>ByLock</w:t>
      </w:r>
      <w:proofErr w:type="spellEnd"/>
      <w:r w:rsidRPr="00B852BB">
        <w:rPr>
          <w:rFonts w:ascii="Arial" w:eastAsia="Times New Roman" w:hAnsi="Arial" w:cs="Arial"/>
          <w:i/>
          <w:iCs/>
          <w:color w:val="323232"/>
          <w:sz w:val="21"/>
          <w:szCs w:val="21"/>
          <w:lang w:eastAsia="tr-TR"/>
        </w:rPr>
        <w:t> </w:t>
      </w:r>
      <w:r w:rsidRPr="00B852BB">
        <w:rPr>
          <w:rFonts w:ascii="Arial" w:eastAsia="Times New Roman" w:hAnsi="Arial" w:cs="Arial"/>
          <w:color w:val="323232"/>
          <w:sz w:val="21"/>
          <w:szCs w:val="21"/>
          <w:lang w:eastAsia="tr-TR"/>
        </w:rPr>
        <w:t>programı verilerinin delil olarak kullanılması ve kamu görevinden çıkarmalar gibi OHAL döneminde alınan birçok tedbirle ilgili kararlar verilmiştir.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Olağanüstü dönemin ortaya çıkardığı hukuki sorunlara 2017 Anayasa değişiklikleriyle başlayan yeni anayasal kurumların yorumu ve uygulanmasına ilişkin zorluklar da eklenebilir. Anayasa Mahkemesi özellikle anayasa yargısı pratiğimizde daha önce örneği olmayan Cumhurbaşkanlığı kararnamelerinin denetimi konusunda Anayasa’nın karmaşık sayılabilecek hükümlerini sistematik bir bütünlük içinde yorumlamak suretiyle temel ilke ve esasları belirlemiş, açılan davaların bir kısmını karara bağlamıştır.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tüm bunları yaparken dünyadaki gelişmeleri de yakından takip etmiş, uluslararası alanda diğer anayasa mahkemeleri ve bölgesel insan hakları mahkemeleriyle bilgi ve tecrübe paylaşımını sürdürmüş, düzenlenen muhtelif toplantılarda hak eksenli yaklaşımı anlatma fırsatı bulmuştur. Bu kapsamda anayasa yargısı alanında Mahkememizin girişimiyle başlayan iki uluslararası oluşumdan kısaca bahsetmek istiyorum.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Birincisi, zatıalinizin de katılımı ve desteğiyle 14 Aralık 2018 tarihinde İstanbul Dolmabahçe’de yapılan toplantıyla başlayan süreç, geçen yıl Eylül ayında Endonezya’da yayımlanan “</w:t>
      </w:r>
      <w:proofErr w:type="spellStart"/>
      <w:r w:rsidRPr="00B852BB">
        <w:rPr>
          <w:rFonts w:ascii="Arial" w:eastAsia="Times New Roman" w:hAnsi="Arial" w:cs="Arial"/>
          <w:i/>
          <w:iCs/>
          <w:color w:val="323232"/>
          <w:sz w:val="21"/>
          <w:szCs w:val="21"/>
          <w:lang w:eastAsia="tr-TR"/>
        </w:rPr>
        <w:t>Bandung</w:t>
      </w:r>
      <w:proofErr w:type="spellEnd"/>
      <w:r w:rsidRPr="00B852BB">
        <w:rPr>
          <w:rFonts w:ascii="Arial" w:eastAsia="Times New Roman" w:hAnsi="Arial" w:cs="Arial"/>
          <w:i/>
          <w:iCs/>
          <w:color w:val="323232"/>
          <w:sz w:val="21"/>
          <w:szCs w:val="21"/>
          <w:lang w:eastAsia="tr-TR"/>
        </w:rPr>
        <w:t xml:space="preserve"> </w:t>
      </w:r>
      <w:proofErr w:type="spellStart"/>
      <w:r w:rsidRPr="00B852BB">
        <w:rPr>
          <w:rFonts w:ascii="Arial" w:eastAsia="Times New Roman" w:hAnsi="Arial" w:cs="Arial"/>
          <w:i/>
          <w:iCs/>
          <w:color w:val="323232"/>
          <w:sz w:val="21"/>
          <w:szCs w:val="21"/>
          <w:lang w:eastAsia="tr-TR"/>
        </w:rPr>
        <w:t>Deklarasyonu</w:t>
      </w:r>
      <w:r w:rsidRPr="00B852BB">
        <w:rPr>
          <w:rFonts w:ascii="Arial" w:eastAsia="Times New Roman" w:hAnsi="Arial" w:cs="Arial"/>
          <w:color w:val="323232"/>
          <w:sz w:val="21"/>
          <w:szCs w:val="21"/>
          <w:lang w:eastAsia="tr-TR"/>
        </w:rPr>
        <w:t>”yla</w:t>
      </w:r>
      <w:proofErr w:type="spellEnd"/>
      <w:r w:rsidRPr="00B852BB">
        <w:rPr>
          <w:rFonts w:ascii="Arial" w:eastAsia="Times New Roman" w:hAnsi="Arial" w:cs="Arial"/>
          <w:color w:val="323232"/>
          <w:sz w:val="21"/>
          <w:szCs w:val="21"/>
          <w:lang w:eastAsia="tr-TR"/>
        </w:rPr>
        <w:t xml:space="preserve"> sonuçlanmış, böylece İslam Ülkeleri Anayasa Yargısı Konferansı kurulmuştur. Bu teşkilatın ilk kongresi 2022 yılının sonunda İstanbul’da yapılacak ve böylece süreç başladığı yerde tamamlanmış olacaktır.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İkinci girişimin sonuçlanması için yılın sonunu beklememize gerek kalmayacaktır. Türk Devletleri Teşkilatına üye ve gözlemci devletlerin katılabileceği Türk Devletleri Teşkilatı Üyeleri Anayasa Yargısı Konferansının (TÜRK-AY) kuruluşuna dair deklarasyonu 27 Nisan 2022 günü Dolmabahçe’de görüşeceğiz. Bu iki uluslararası oluşumun şimdiden hayırlı olmasını ve anayasa yargısı alanındaki iş birliği ve dayanışmamıza önemli katkılar sunmasını temenni ediyorum.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oldukça sancılı bir süreçte tüm zorluklara ve olumsuzluklara rağmen kendisinden beklenen işlevi başarılı bir şekilde yerine getirmiştir. Eminim ileride Türk anayasa yargısının bu dönemine dair yapılacak objektif çalışmalar bunu teslim edecektir. Bu vesileyle bu süreçte fedakârca çalışarak Mahkememize katkı yapan, bahsedilen başarı öyküsünün mimarları olan Başkanvekillerimiz, üyelerimiz ve raportörlerimiz başta olmak üzere tüm mensuplarımıza teşekkür ediyorum.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xml:space="preserve">Bilindiği üzere değişimi gerçekleştirmek kadar hatta ondan daha önemli olanı değişimin sürdürülmesidir. Anayasa Mahkemesi bu iradeye ve birikime sahiptir. Bunun yanında anayasa yargısı alanındaki akademik birikimden yararlanmak ve bir anlamda teori ve pratiği buluşturmak amacıyla Mahkememiz bünyesinde 2018 yılında Anayasa Yargısı Araştırmaları Merkezinin (AYAM) kurulduğunu belirtmek isterim. </w:t>
      </w:r>
      <w:proofErr w:type="spellStart"/>
      <w:r w:rsidRPr="00B852BB">
        <w:rPr>
          <w:rFonts w:ascii="Arial" w:eastAsia="Times New Roman" w:hAnsi="Arial" w:cs="Arial"/>
          <w:color w:val="323232"/>
          <w:sz w:val="21"/>
          <w:szCs w:val="21"/>
          <w:lang w:eastAsia="tr-TR"/>
        </w:rPr>
        <w:t>AYAM’ın</w:t>
      </w:r>
      <w:proofErr w:type="spellEnd"/>
      <w:r w:rsidRPr="00B852BB">
        <w:rPr>
          <w:rFonts w:ascii="Arial" w:eastAsia="Times New Roman" w:hAnsi="Arial" w:cs="Arial"/>
          <w:color w:val="323232"/>
          <w:sz w:val="21"/>
          <w:szCs w:val="21"/>
          <w:lang w:eastAsia="tr-TR"/>
        </w:rPr>
        <w:t xml:space="preserve"> bugünkü sempozyum gibi düzenlediği bilimsel toplantılar ve yaptığı yayınlar yoluyla Mahkememizin hukuk dünyasıyla etkileşimine ve hak eksenli içtihadın geliştirilmesine önemli katkılar sağladığına ve sağlamaya devam edeceğine inanıyorum.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Bununla birlikte, diğer alanlarda olduğu gibi adaletin tesisi ve temel hakların korunması da yasama, yürütme ve yargı organları arasında Anayasa’nın Başlangıç kısmında belirtilen </w:t>
      </w:r>
      <w:r w:rsidRPr="00B852BB">
        <w:rPr>
          <w:rFonts w:ascii="Arial" w:eastAsia="Times New Roman" w:hAnsi="Arial" w:cs="Arial"/>
          <w:i/>
          <w:iCs/>
          <w:color w:val="323232"/>
          <w:sz w:val="21"/>
          <w:szCs w:val="21"/>
          <w:lang w:eastAsia="tr-TR"/>
        </w:rPr>
        <w:t>iş bölümü ve iş birliği</w:t>
      </w:r>
      <w:r w:rsidRPr="00B852BB">
        <w:rPr>
          <w:rFonts w:ascii="Arial" w:eastAsia="Times New Roman" w:hAnsi="Arial" w:cs="Arial"/>
          <w:color w:val="323232"/>
          <w:sz w:val="21"/>
          <w:szCs w:val="21"/>
          <w:lang w:eastAsia="tr-TR"/>
        </w:rPr>
        <w:t>ni gerektirmektedir.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 iş birliğinin bilhassa bireysel başvurudaki iş yüküyle başa çıkma konusunda gerekli olduğunu belirtmek zorundayım. Gerçekten de her fırsatta dikkat çekmeye çalışıyorum, Mahkememiz maalesef 60 yıllık tarihinin en yoğun iş yüküyle karşı karşıyadır. Anayasa Mahkemesinin önünde norm denetiminden bireysel başvuruya, Yüce Divan yargılamalarından siyasi parti kapatma davalarına kadar hemen her görev alanıyla ilgili çok sayıda derdest dosya bulunmaktadır.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Özellikle bireysel başvuru sayısı inanılmaz bir hızla artmaktadır. Şu anda önümüzde 95 bin civarında başvuru bulunmaktadır. Mahkememiz bireysel başvurunun kabul edildiği diğer ülkelerdeki anayasa mahkemeleriyle hatta Avrupa İnsan Hakları Mahkemesiyle karşılaştırılmayacak kadar ağır bir iş yüküyle başa çıkmaya çalışmaktadır.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Anayasa Mahkemesi bireysel başvuruda kurduğu sistemi daha etkili hâle getirmek için sürekli yeni tedbirler almakta ve yoğun bir gayretle başvuruları karara bağlamaktadır. Nitekim 2012 yılından bu yana yapılan başvuruların yaklaşık yüzde 80’i hakkında karar verilmiş, özellikle son iki yılda yıllık bazda 45 bin başvuru sonuçlandırılmıştır.</w:t>
      </w:r>
      <w:r w:rsidR="009C46CB">
        <w:rPr>
          <w:rStyle w:val="DipnotBavurusu"/>
          <w:rFonts w:ascii="Arial" w:eastAsia="Times New Roman" w:hAnsi="Arial" w:cs="Arial"/>
          <w:color w:val="323232"/>
          <w:sz w:val="21"/>
          <w:szCs w:val="21"/>
          <w:lang w:eastAsia="tr-TR"/>
        </w:rPr>
        <w:footnoteReference w:id="18"/>
      </w:r>
      <w:r w:rsidR="009C46CB" w:rsidRPr="00B852BB">
        <w:rPr>
          <w:rFonts w:ascii="Arial" w:eastAsia="Times New Roman" w:hAnsi="Arial" w:cs="Arial"/>
          <w:color w:val="323232"/>
          <w:sz w:val="21"/>
          <w:szCs w:val="21"/>
          <w:lang w:eastAsia="tr-TR"/>
        </w:rPr>
        <w:t xml:space="preserve">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Her vesileyle ifade ettiğimiz gibi bu ağır iş yükünü azaltmanın en etkili yolu, ihlallerin kaynağına müdahale etmektir. Başka bir ifadeyle Anayasa Mahkemesince ihlale neden olduğu tespit edilen kanun hükümleri, idari veya yargısal kararlar ortadan kaldırılmalıdır. Bu sayede aynı veya benzer konularda yapılabilecek yeni bireysel başvurular ve ihlaller önlenebilecektir. Ülkemiz hukuk sistemi bakımından çok önemli bir kazanım olan bireysel başvurunun etkili ve başarılı bir hak arama yolu olarak gelecek nesillere aktarılması tüm kamu kurumlarının, gerçek ve tüzel kişilerin, kısacası hepimizin gayretlerine bağlıdır.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Sonuç olarak temel hak ve özgürlüklerin korunması konusundaki </w:t>
      </w:r>
      <w:r w:rsidRPr="00B852BB">
        <w:rPr>
          <w:rFonts w:ascii="Arial" w:eastAsia="Times New Roman" w:hAnsi="Arial" w:cs="Arial"/>
          <w:i/>
          <w:iCs/>
          <w:color w:val="323232"/>
          <w:sz w:val="21"/>
          <w:szCs w:val="21"/>
          <w:lang w:eastAsia="tr-TR"/>
        </w:rPr>
        <w:t>iş bölümü ve</w:t>
      </w:r>
      <w:r w:rsidRPr="00B852BB">
        <w:rPr>
          <w:rFonts w:ascii="Arial" w:eastAsia="Times New Roman" w:hAnsi="Arial" w:cs="Arial"/>
          <w:color w:val="323232"/>
          <w:sz w:val="21"/>
          <w:szCs w:val="21"/>
          <w:lang w:eastAsia="tr-TR"/>
        </w:rPr>
        <w:t> </w:t>
      </w:r>
      <w:r w:rsidRPr="00B852BB">
        <w:rPr>
          <w:rFonts w:ascii="Arial" w:eastAsia="Times New Roman" w:hAnsi="Arial" w:cs="Arial"/>
          <w:i/>
          <w:iCs/>
          <w:color w:val="323232"/>
          <w:sz w:val="21"/>
          <w:szCs w:val="21"/>
          <w:lang w:eastAsia="tr-TR"/>
        </w:rPr>
        <w:t>iş birliği</w:t>
      </w:r>
      <w:r w:rsidRPr="00B852BB">
        <w:rPr>
          <w:rFonts w:ascii="Arial" w:eastAsia="Times New Roman" w:hAnsi="Arial" w:cs="Arial"/>
          <w:color w:val="323232"/>
          <w:sz w:val="21"/>
          <w:szCs w:val="21"/>
          <w:lang w:eastAsia="tr-TR"/>
        </w:rPr>
        <w:t>, gücün adaletle birleştiği, hukukun üstünlüğünün sağlandığı, insanlarının huzur, mutluluk ve refah içinde yaşadığı, insan-toplum-devlet ilişkilerinin sağlıklı ve dengeli bir şekilde kurulduğu demokratik bir siyasal düzenin tahkimine katkı yapacaktır. Bu yöndeki iş birliği aynı zamanda bizi Cumhuriyetimizin kurucusu Gazi Mustafa Kemal Atatürk’ün işaret ettiği ve Anayasa’da ifadesini bulan muasır medeniyet düzeyini aşma hedefine daha da yaklaştıracaktır.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Sayın Cumhurbaşkanım,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b/>
          <w:bCs/>
          <w:color w:val="323232"/>
          <w:sz w:val="21"/>
          <w:szCs w:val="21"/>
          <w:lang w:eastAsia="tr-TR"/>
        </w:rPr>
        <w:t>Değerli Konuklar,</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Konuşmama son vermeden önce emeklilerimizden geçtiğimiz dönem içinde vefat edenlere Allah’tan rahmet, hayatta olanlara da sağlık ve afiyet diliyorum.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60. kuruluş yıldönümü nedeniyle düzenlediğimiz “</w:t>
      </w:r>
      <w:r w:rsidRPr="00B852BB">
        <w:rPr>
          <w:rFonts w:ascii="Arial" w:eastAsia="Times New Roman" w:hAnsi="Arial" w:cs="Arial"/>
          <w:i/>
          <w:iCs/>
          <w:color w:val="323232"/>
          <w:sz w:val="21"/>
          <w:szCs w:val="21"/>
          <w:lang w:eastAsia="tr-TR"/>
        </w:rPr>
        <w:t>Temel Hak ve Özgürlüklerin Korunmasında Anayasanın Yorumlanması</w:t>
      </w:r>
      <w:r w:rsidRPr="00B852BB">
        <w:rPr>
          <w:rFonts w:ascii="Arial" w:eastAsia="Times New Roman" w:hAnsi="Arial" w:cs="Arial"/>
          <w:color w:val="323232"/>
          <w:sz w:val="21"/>
          <w:szCs w:val="21"/>
          <w:lang w:eastAsia="tr-TR"/>
        </w:rPr>
        <w:t>” konulu sempozyumun başarılı ve verimli geçmesini temenni ediyorum. Başta oturumları yönetecek olan Yargıtay ve Danıştay Başkanlarımız olmak üzere Avrupa İnsan Hakları Mahkemesi yargıcımıza, hocalarımıza, tüm konuşmacılara ve sempozyumun düzenlenmesinde emeği geçen herkese katkılarından dolayı teşekkür ediyorum.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lastRenderedPageBreak/>
        <w:t>Son olarak biraz sonra açılışını yapacağımız “</w:t>
      </w:r>
      <w:r w:rsidRPr="00B852BB">
        <w:rPr>
          <w:rFonts w:ascii="Arial" w:eastAsia="Times New Roman" w:hAnsi="Arial" w:cs="Arial"/>
          <w:i/>
          <w:iCs/>
          <w:color w:val="323232"/>
          <w:sz w:val="21"/>
          <w:szCs w:val="21"/>
          <w:lang w:eastAsia="tr-TR"/>
        </w:rPr>
        <w:t xml:space="preserve">Anayasa Tarihi </w:t>
      </w:r>
      <w:proofErr w:type="spellStart"/>
      <w:r w:rsidRPr="00B852BB">
        <w:rPr>
          <w:rFonts w:ascii="Arial" w:eastAsia="Times New Roman" w:hAnsi="Arial" w:cs="Arial"/>
          <w:i/>
          <w:iCs/>
          <w:color w:val="323232"/>
          <w:sz w:val="21"/>
          <w:szCs w:val="21"/>
          <w:lang w:eastAsia="tr-TR"/>
        </w:rPr>
        <w:t>Galerisi</w:t>
      </w:r>
      <w:r w:rsidRPr="00B852BB">
        <w:rPr>
          <w:rFonts w:ascii="Arial" w:eastAsia="Times New Roman" w:hAnsi="Arial" w:cs="Arial"/>
          <w:color w:val="323232"/>
          <w:sz w:val="21"/>
          <w:szCs w:val="21"/>
          <w:lang w:eastAsia="tr-TR"/>
        </w:rPr>
        <w:t>”nin</w:t>
      </w:r>
      <w:proofErr w:type="spellEnd"/>
      <w:r w:rsidRPr="00B852BB">
        <w:rPr>
          <w:rFonts w:ascii="Arial" w:eastAsia="Times New Roman" w:hAnsi="Arial" w:cs="Arial"/>
          <w:color w:val="323232"/>
          <w:sz w:val="21"/>
          <w:szCs w:val="21"/>
          <w:lang w:eastAsia="tr-TR"/>
        </w:rPr>
        <w:t xml:space="preserve"> Mahkememiz ve ülkemiz için hayırlı olmasını diliyorum. Buradaki amacımız </w:t>
      </w:r>
      <w:proofErr w:type="spellStart"/>
      <w:r w:rsidRPr="00B852BB">
        <w:rPr>
          <w:rFonts w:ascii="Arial" w:eastAsia="Times New Roman" w:hAnsi="Arial" w:cs="Arial"/>
          <w:color w:val="323232"/>
          <w:sz w:val="21"/>
          <w:szCs w:val="21"/>
          <w:lang w:eastAsia="tr-TR"/>
        </w:rPr>
        <w:t>Sened</w:t>
      </w:r>
      <w:proofErr w:type="spellEnd"/>
      <w:r w:rsidRPr="00B852BB">
        <w:rPr>
          <w:rFonts w:ascii="Arial" w:eastAsia="Times New Roman" w:hAnsi="Arial" w:cs="Arial"/>
          <w:color w:val="323232"/>
          <w:sz w:val="21"/>
          <w:szCs w:val="21"/>
          <w:lang w:eastAsia="tr-TR"/>
        </w:rPr>
        <w:t>-i İttifak’tan bugüne anayasacılık tarihimizi ve anayasa yargısındaki gelişmeleri dönüm noktaları itibarıyla tanıtmaktır. Galeri’deki bilgi ve belgelerin bilhassa yurt dışından gelen misafirlerimiz ve üniversite öğrencilerimiz bakımından ilgi çekici ve faydalı olacağını umuyorum. Bu vesileyle yoğun bir hazırlık sürecinde emeği geçen herkese çok teşekkür ediyorum.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Bu duygu ve düşüncelerle, törenimizi teşriflerinizden dolayı hepinize bir kez daha şükranlarımı sunuyor, sağlık ve afiyetle huzurlu günler diliyorum.</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B852BB" w:rsidRPr="00B852BB" w:rsidTr="00B852BB">
        <w:trPr>
          <w:trHeight w:val="225"/>
          <w:jc w:val="right"/>
        </w:trPr>
        <w:tc>
          <w:tcPr>
            <w:tcW w:w="0" w:type="auto"/>
            <w:vAlign w:val="center"/>
            <w:hideMark/>
          </w:tcPr>
          <w:p w:rsidR="00B852BB" w:rsidRPr="00B852BB" w:rsidRDefault="00B852BB" w:rsidP="00B852BB">
            <w:pPr>
              <w:spacing w:after="0" w:line="240" w:lineRule="auto"/>
              <w:jc w:val="center"/>
              <w:rPr>
                <w:rFonts w:ascii="Times New Roman" w:eastAsia="Times New Roman" w:hAnsi="Times New Roman" w:cs="Times New Roman"/>
                <w:color w:val="424242"/>
                <w:sz w:val="24"/>
                <w:szCs w:val="24"/>
                <w:lang w:eastAsia="tr-TR"/>
              </w:rPr>
            </w:pPr>
            <w:r w:rsidRPr="00B852BB">
              <w:rPr>
                <w:rFonts w:ascii="Times New Roman" w:eastAsia="Times New Roman" w:hAnsi="Times New Roman" w:cs="Times New Roman"/>
                <w:b/>
                <w:bCs/>
                <w:color w:val="424242"/>
                <w:sz w:val="24"/>
                <w:szCs w:val="24"/>
                <w:lang w:eastAsia="tr-TR"/>
              </w:rPr>
              <w:t>Zühtü ARSLAN</w:t>
            </w:r>
          </w:p>
        </w:tc>
      </w:tr>
      <w:tr w:rsidR="00B852BB" w:rsidRPr="00B852BB" w:rsidTr="00B852BB">
        <w:trPr>
          <w:trHeight w:val="225"/>
          <w:jc w:val="right"/>
        </w:trPr>
        <w:tc>
          <w:tcPr>
            <w:tcW w:w="0" w:type="auto"/>
            <w:vAlign w:val="center"/>
            <w:hideMark/>
          </w:tcPr>
          <w:p w:rsidR="00B852BB" w:rsidRPr="00B852BB" w:rsidRDefault="00B852BB" w:rsidP="00B852BB">
            <w:pPr>
              <w:spacing w:after="0" w:line="240" w:lineRule="auto"/>
              <w:jc w:val="center"/>
              <w:rPr>
                <w:rFonts w:ascii="Times New Roman" w:eastAsia="Times New Roman" w:hAnsi="Times New Roman" w:cs="Times New Roman"/>
                <w:color w:val="424242"/>
                <w:sz w:val="24"/>
                <w:szCs w:val="24"/>
                <w:lang w:eastAsia="tr-TR"/>
              </w:rPr>
            </w:pPr>
            <w:r w:rsidRPr="00B852BB">
              <w:rPr>
                <w:rFonts w:ascii="Times New Roman" w:eastAsia="Times New Roman" w:hAnsi="Times New Roman" w:cs="Times New Roman"/>
                <w:b/>
                <w:bCs/>
                <w:color w:val="424242"/>
                <w:sz w:val="24"/>
                <w:szCs w:val="24"/>
                <w:lang w:eastAsia="tr-TR"/>
              </w:rPr>
              <w:t>Anayasa Mahkemesi Başkanı</w:t>
            </w:r>
          </w:p>
        </w:tc>
      </w:tr>
    </w:tbl>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w:t>
      </w:r>
    </w:p>
    <w:p w:rsidR="00B852BB" w:rsidRPr="00B852BB" w:rsidRDefault="00B852BB" w:rsidP="00B852BB">
      <w:pPr>
        <w:spacing w:after="100" w:afterAutospacing="1" w:line="375" w:lineRule="atLeast"/>
        <w:jc w:val="both"/>
        <w:rPr>
          <w:rFonts w:ascii="Arial" w:eastAsia="Times New Roman" w:hAnsi="Arial" w:cs="Arial"/>
          <w:color w:val="323232"/>
          <w:sz w:val="21"/>
          <w:szCs w:val="21"/>
          <w:lang w:eastAsia="tr-TR"/>
        </w:rPr>
      </w:pPr>
      <w:r w:rsidRPr="00B852BB">
        <w:rPr>
          <w:rFonts w:ascii="Arial" w:eastAsia="Times New Roman" w:hAnsi="Arial" w:cs="Arial"/>
          <w:color w:val="323232"/>
          <w:sz w:val="21"/>
          <w:szCs w:val="21"/>
          <w:lang w:eastAsia="tr-TR"/>
        </w:rPr>
        <w:t> </w:t>
      </w:r>
    </w:p>
    <w:p w:rsidR="00B852BB" w:rsidRPr="00B852BB" w:rsidRDefault="00190924" w:rsidP="00B852B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FC30D0" w:rsidRPr="00B852BB" w:rsidRDefault="00FC30D0" w:rsidP="00B852BB">
      <w:pPr>
        <w:jc w:val="both"/>
      </w:pPr>
    </w:p>
    <w:sectPr w:rsidR="00FC30D0" w:rsidRPr="00B852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924" w:rsidRDefault="00190924" w:rsidP="00B852BB">
      <w:pPr>
        <w:spacing w:after="0" w:line="240" w:lineRule="auto"/>
      </w:pPr>
      <w:r>
        <w:separator/>
      </w:r>
    </w:p>
  </w:endnote>
  <w:endnote w:type="continuationSeparator" w:id="0">
    <w:p w:rsidR="00190924" w:rsidRDefault="00190924" w:rsidP="00B8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17847"/>
      <w:docPartObj>
        <w:docPartGallery w:val="Page Numbers (Bottom of Page)"/>
        <w:docPartUnique/>
      </w:docPartObj>
    </w:sdtPr>
    <w:sdtEndPr/>
    <w:sdtContent>
      <w:p w:rsidR="00B852BB" w:rsidRDefault="00B852BB">
        <w:pPr>
          <w:pStyle w:val="AltBilgi"/>
          <w:jc w:val="right"/>
        </w:pPr>
        <w:r>
          <w:fldChar w:fldCharType="begin"/>
        </w:r>
        <w:r>
          <w:instrText>PAGE   \* MERGEFORMAT</w:instrText>
        </w:r>
        <w:r>
          <w:fldChar w:fldCharType="separate"/>
        </w:r>
        <w:r>
          <w:t>2</w:t>
        </w:r>
        <w:r>
          <w:fldChar w:fldCharType="end"/>
        </w:r>
      </w:p>
    </w:sdtContent>
  </w:sdt>
  <w:p w:rsidR="00B852BB" w:rsidRDefault="00B852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924" w:rsidRDefault="00190924" w:rsidP="00B852BB">
      <w:pPr>
        <w:spacing w:after="0" w:line="240" w:lineRule="auto"/>
      </w:pPr>
      <w:r>
        <w:separator/>
      </w:r>
    </w:p>
  </w:footnote>
  <w:footnote w:type="continuationSeparator" w:id="0">
    <w:p w:rsidR="00190924" w:rsidRDefault="00190924" w:rsidP="00B852BB">
      <w:pPr>
        <w:spacing w:after="0" w:line="240" w:lineRule="auto"/>
      </w:pPr>
      <w:r>
        <w:continuationSeparator/>
      </w:r>
    </w:p>
  </w:footnote>
  <w:footnote w:id="1">
    <w:p w:rsidR="009C46CB" w:rsidRDefault="009C46CB">
      <w:pPr>
        <w:pStyle w:val="DipnotMetni"/>
      </w:pPr>
      <w:r>
        <w:rPr>
          <w:rStyle w:val="DipnotBavurusu"/>
        </w:rPr>
        <w:footnoteRef/>
      </w:r>
      <w:r>
        <w:t xml:space="preserve"> </w:t>
      </w:r>
      <w:r w:rsidRPr="009C46CB">
        <w:t xml:space="preserve">Molla Câmi, </w:t>
      </w:r>
      <w:proofErr w:type="spellStart"/>
      <w:r w:rsidRPr="009C46CB">
        <w:t>Baharistan</w:t>
      </w:r>
      <w:proofErr w:type="spellEnd"/>
      <w:r w:rsidRPr="009C46CB">
        <w:t xml:space="preserve">, 2. Baskı, Çev. Adnan </w:t>
      </w:r>
      <w:proofErr w:type="spellStart"/>
      <w:r w:rsidRPr="009C46CB">
        <w:t>Karaismailoğlu</w:t>
      </w:r>
      <w:proofErr w:type="spellEnd"/>
      <w:r w:rsidRPr="009C46CB">
        <w:t xml:space="preserve">, (Ankara: </w:t>
      </w:r>
      <w:proofErr w:type="spellStart"/>
      <w:r w:rsidRPr="009C46CB">
        <w:t>Akçağ</w:t>
      </w:r>
      <w:proofErr w:type="spellEnd"/>
      <w:r w:rsidRPr="009C46CB">
        <w:t xml:space="preserve"> Yayınları, 2018), </w:t>
      </w:r>
      <w:proofErr w:type="spellStart"/>
      <w:r w:rsidRPr="009C46CB">
        <w:t>ss</w:t>
      </w:r>
      <w:proofErr w:type="spellEnd"/>
      <w:r w:rsidRPr="009C46CB">
        <w:t>. 47, 48.</w:t>
      </w:r>
    </w:p>
  </w:footnote>
  <w:footnote w:id="2">
    <w:p w:rsidR="009C46CB" w:rsidRDefault="009C46CB">
      <w:pPr>
        <w:pStyle w:val="DipnotMetni"/>
      </w:pPr>
      <w:r>
        <w:rPr>
          <w:rStyle w:val="DipnotBavurusu"/>
        </w:rPr>
        <w:footnoteRef/>
      </w:r>
      <w:r>
        <w:t xml:space="preserve"> </w:t>
      </w:r>
      <w:proofErr w:type="spellStart"/>
      <w:r w:rsidRPr="009C46CB">
        <w:t>Blaise</w:t>
      </w:r>
      <w:proofErr w:type="spellEnd"/>
      <w:r w:rsidRPr="009C46CB">
        <w:t xml:space="preserve"> Pascal, </w:t>
      </w:r>
      <w:proofErr w:type="spellStart"/>
      <w:r w:rsidRPr="009C46CB">
        <w:t>Pensees</w:t>
      </w:r>
      <w:proofErr w:type="spellEnd"/>
      <w:r w:rsidRPr="009C46CB">
        <w:t xml:space="preserve">, J. </w:t>
      </w:r>
      <w:proofErr w:type="spellStart"/>
      <w:r w:rsidRPr="009C46CB">
        <w:t>Wamngton</w:t>
      </w:r>
      <w:proofErr w:type="spellEnd"/>
      <w:r w:rsidRPr="009C46CB">
        <w:t>, (</w:t>
      </w:r>
      <w:proofErr w:type="spellStart"/>
      <w:r w:rsidRPr="009C46CB">
        <w:t>London</w:t>
      </w:r>
      <w:proofErr w:type="spellEnd"/>
      <w:r w:rsidRPr="009C46CB">
        <w:t xml:space="preserve">: </w:t>
      </w:r>
      <w:proofErr w:type="spellStart"/>
      <w:r w:rsidRPr="009C46CB">
        <w:t>Everyman's</w:t>
      </w:r>
      <w:proofErr w:type="spellEnd"/>
      <w:r w:rsidRPr="009C46CB">
        <w:t xml:space="preserve"> Library, 1960), 192 [411-298], s.53</w:t>
      </w:r>
    </w:p>
  </w:footnote>
  <w:footnote w:id="3">
    <w:p w:rsidR="009C46CB" w:rsidRDefault="009C46CB">
      <w:pPr>
        <w:pStyle w:val="DipnotMetni"/>
      </w:pPr>
      <w:r>
        <w:rPr>
          <w:rStyle w:val="DipnotBavurusu"/>
        </w:rPr>
        <w:footnoteRef/>
      </w:r>
      <w:r>
        <w:t xml:space="preserve"> </w:t>
      </w:r>
      <w:proofErr w:type="spellStart"/>
      <w:r w:rsidRPr="009C46CB">
        <w:t>Aliya</w:t>
      </w:r>
      <w:proofErr w:type="spellEnd"/>
      <w:r w:rsidRPr="009C46CB">
        <w:t xml:space="preserve"> </w:t>
      </w:r>
      <w:proofErr w:type="spellStart"/>
      <w:r w:rsidRPr="009C46CB">
        <w:t>İzzetbegoviç</w:t>
      </w:r>
      <w:proofErr w:type="spellEnd"/>
      <w:r w:rsidRPr="009C46CB">
        <w:t>, Doğu Batı Arasında İslam, 3. Baskı, Çev. S. Şaban, (İstanbul: Klasik Yayınları, 2015), s. 299.</w:t>
      </w:r>
    </w:p>
  </w:footnote>
  <w:footnote w:id="4">
    <w:p w:rsidR="009C46CB" w:rsidRDefault="009C46CB" w:rsidP="009C46CB">
      <w:pPr>
        <w:pStyle w:val="DipnotMetni"/>
        <w:jc w:val="both"/>
      </w:pPr>
      <w:r>
        <w:rPr>
          <w:rStyle w:val="DipnotBavurusu"/>
        </w:rPr>
        <w:footnoteRef/>
      </w:r>
      <w:r>
        <w:t xml:space="preserve"> </w:t>
      </w:r>
      <w:proofErr w:type="spellStart"/>
      <w:r w:rsidRPr="009C46CB">
        <w:t>Babanzâde</w:t>
      </w:r>
      <w:proofErr w:type="spellEnd"/>
      <w:r w:rsidRPr="009C46CB">
        <w:t xml:space="preserve"> İ. Hakkı, Hukuk-ı Esasiye (1913), Haz. F. Balcıoğlu ve A.B. Balcıoğlu, (Ankara: Erguvanî Yayınevi, 2014), s.334.</w:t>
      </w:r>
    </w:p>
  </w:footnote>
  <w:footnote w:id="5">
    <w:p w:rsidR="009C46CB" w:rsidRDefault="009C46CB" w:rsidP="009C46CB">
      <w:pPr>
        <w:pStyle w:val="DipnotMetni"/>
        <w:jc w:val="both"/>
      </w:pPr>
      <w:r>
        <w:rPr>
          <w:rStyle w:val="DipnotBavurusu"/>
        </w:rPr>
        <w:footnoteRef/>
      </w:r>
      <w:r>
        <w:t xml:space="preserve"> </w:t>
      </w:r>
      <w:proofErr w:type="spellStart"/>
      <w:r w:rsidRPr="009C46CB">
        <w:t>Friedrich</w:t>
      </w:r>
      <w:proofErr w:type="spellEnd"/>
      <w:r w:rsidRPr="009C46CB">
        <w:t xml:space="preserve"> Nietzsche, Tarihin Yaşam İçin Yararı ve Sakıncası, 6. Basım, Çev. M. Tüzel, (İstanbul: İş Bankası Yayınları, 2021), </w:t>
      </w:r>
      <w:proofErr w:type="spellStart"/>
      <w:r w:rsidRPr="009C46CB">
        <w:t>ss</w:t>
      </w:r>
      <w:proofErr w:type="spellEnd"/>
      <w:r w:rsidRPr="009C46CB">
        <w:t>. 42, 43.</w:t>
      </w:r>
    </w:p>
  </w:footnote>
  <w:footnote w:id="6">
    <w:p w:rsidR="009C46CB" w:rsidRDefault="009C46CB">
      <w:pPr>
        <w:pStyle w:val="DipnotMetni"/>
      </w:pPr>
      <w:r>
        <w:rPr>
          <w:rStyle w:val="DipnotBavurusu"/>
        </w:rPr>
        <w:footnoteRef/>
      </w:r>
      <w:r>
        <w:t xml:space="preserve"> </w:t>
      </w:r>
      <w:r w:rsidRPr="009C46CB">
        <w:t>Bkz. Ali Kuş [GK], B. No: 2017/27822, 10/2/2022, § 50.</w:t>
      </w:r>
    </w:p>
  </w:footnote>
  <w:footnote w:id="7">
    <w:p w:rsidR="009C46CB" w:rsidRDefault="009C46CB">
      <w:pPr>
        <w:pStyle w:val="DipnotMetni"/>
      </w:pPr>
      <w:r>
        <w:rPr>
          <w:rStyle w:val="DipnotBavurusu"/>
        </w:rPr>
        <w:footnoteRef/>
      </w:r>
      <w:r>
        <w:t xml:space="preserve"> </w:t>
      </w:r>
      <w:r w:rsidRPr="009C46CB">
        <w:t>AYM, E.2016/165, K.2017/76, 15/3/2017, § 17.</w:t>
      </w:r>
    </w:p>
  </w:footnote>
  <w:footnote w:id="8">
    <w:p w:rsidR="009C46CB" w:rsidRDefault="009C46CB" w:rsidP="009C46CB">
      <w:pPr>
        <w:pStyle w:val="DipnotMetni"/>
        <w:jc w:val="both"/>
      </w:pPr>
      <w:r>
        <w:rPr>
          <w:rStyle w:val="DipnotBavurusu"/>
        </w:rPr>
        <w:footnoteRef/>
      </w:r>
      <w:r>
        <w:t xml:space="preserve"> </w:t>
      </w:r>
      <w:r w:rsidRPr="009C46CB">
        <w:t xml:space="preserve">Mevlânâ </w:t>
      </w:r>
      <w:proofErr w:type="spellStart"/>
      <w:r w:rsidRPr="009C46CB">
        <w:t>Celâleddin</w:t>
      </w:r>
      <w:proofErr w:type="spellEnd"/>
      <w:r w:rsidRPr="009C46CB">
        <w:t xml:space="preserve">-î Rûmî, Mesnevî-i </w:t>
      </w:r>
      <w:proofErr w:type="spellStart"/>
      <w:r w:rsidRPr="009C46CB">
        <w:t>Ma'nevî</w:t>
      </w:r>
      <w:proofErr w:type="spellEnd"/>
      <w:r w:rsidRPr="009C46CB">
        <w:t xml:space="preserve">, Çev. </w:t>
      </w:r>
      <w:proofErr w:type="spellStart"/>
      <w:proofErr w:type="gramStart"/>
      <w:r w:rsidRPr="009C46CB">
        <w:t>D.Örs</w:t>
      </w:r>
      <w:proofErr w:type="spellEnd"/>
      <w:proofErr w:type="gramEnd"/>
      <w:r w:rsidRPr="009C46CB">
        <w:t xml:space="preserve"> ve H. Kırlangıç, 3. Basım, Cilt II, (İstanbul: Türkiye Yazma Eserler Kurumu Başkanlığı Yayınları, 2015), VI/2597, s. 866.</w:t>
      </w:r>
    </w:p>
  </w:footnote>
  <w:footnote w:id="9">
    <w:p w:rsidR="009C46CB" w:rsidRDefault="009C46CB">
      <w:pPr>
        <w:pStyle w:val="DipnotMetni"/>
      </w:pPr>
      <w:r>
        <w:rPr>
          <w:rStyle w:val="DipnotBavurusu"/>
        </w:rPr>
        <w:footnoteRef/>
      </w:r>
      <w:r>
        <w:t xml:space="preserve"> </w:t>
      </w:r>
      <w:r w:rsidRPr="009C46CB">
        <w:t>AYM, E.2012/65, K.2012/128, 20/9/</w:t>
      </w:r>
      <w:proofErr w:type="gramStart"/>
      <w:r w:rsidRPr="009C46CB">
        <w:t>2012;AYM</w:t>
      </w:r>
      <w:proofErr w:type="gramEnd"/>
      <w:r w:rsidRPr="009C46CB">
        <w:t>, E.2017/180, K.2018/109, 6/12/2018, § 13.</w:t>
      </w:r>
    </w:p>
  </w:footnote>
  <w:footnote w:id="10">
    <w:p w:rsidR="009C46CB" w:rsidRDefault="009C46CB">
      <w:pPr>
        <w:pStyle w:val="DipnotMetni"/>
      </w:pPr>
      <w:r>
        <w:rPr>
          <w:rStyle w:val="DipnotBavurusu"/>
        </w:rPr>
        <w:footnoteRef/>
      </w:r>
      <w:r>
        <w:t xml:space="preserve"> </w:t>
      </w:r>
      <w:r w:rsidRPr="009C46CB">
        <w:t>AYM, E.2017/180, K.2018/109, 6/12/2018, § 26.</w:t>
      </w:r>
    </w:p>
  </w:footnote>
  <w:footnote w:id="11">
    <w:p w:rsidR="009C46CB" w:rsidRDefault="009C46CB">
      <w:pPr>
        <w:pStyle w:val="DipnotMetni"/>
      </w:pPr>
      <w:r>
        <w:rPr>
          <w:rStyle w:val="DipnotBavurusu"/>
        </w:rPr>
        <w:footnoteRef/>
      </w:r>
      <w:r>
        <w:t xml:space="preserve"> </w:t>
      </w:r>
      <w:r w:rsidRPr="009C46CB">
        <w:t>Tuğba Arslan [GK], B. No: 2014/256, 25/6/2014.</w:t>
      </w:r>
    </w:p>
  </w:footnote>
  <w:footnote w:id="12">
    <w:p w:rsidR="009C46CB" w:rsidRDefault="009C46CB">
      <w:pPr>
        <w:pStyle w:val="DipnotMetni"/>
      </w:pPr>
      <w:r>
        <w:rPr>
          <w:rStyle w:val="DipnotBavurusu"/>
        </w:rPr>
        <w:footnoteRef/>
      </w:r>
      <w:r>
        <w:t xml:space="preserve"> </w:t>
      </w:r>
      <w:r w:rsidRPr="009C46CB">
        <w:t>Tuğba Arslan, § 98; Sara Akgül [GK], B. No: 2015/269, 22/11/2018, § 103.</w:t>
      </w:r>
    </w:p>
  </w:footnote>
  <w:footnote w:id="13">
    <w:p w:rsidR="009C46CB" w:rsidRDefault="009C46CB">
      <w:pPr>
        <w:pStyle w:val="DipnotMetni"/>
      </w:pPr>
      <w:r>
        <w:rPr>
          <w:rStyle w:val="DipnotBavurusu"/>
        </w:rPr>
        <w:footnoteRef/>
      </w:r>
      <w:r>
        <w:t xml:space="preserve"> </w:t>
      </w:r>
      <w:proofErr w:type="spellStart"/>
      <w:r w:rsidRPr="009C46CB">
        <w:t>Levon</w:t>
      </w:r>
      <w:proofErr w:type="spellEnd"/>
      <w:r w:rsidRPr="009C46CB">
        <w:t xml:space="preserve"> </w:t>
      </w:r>
      <w:proofErr w:type="spellStart"/>
      <w:r w:rsidRPr="009C46CB">
        <w:t>Berç</w:t>
      </w:r>
      <w:proofErr w:type="spellEnd"/>
      <w:r w:rsidRPr="009C46CB">
        <w:t xml:space="preserve"> </w:t>
      </w:r>
      <w:proofErr w:type="spellStart"/>
      <w:r w:rsidRPr="009C46CB">
        <w:t>Kuzukoğlu</w:t>
      </w:r>
      <w:proofErr w:type="spellEnd"/>
      <w:r w:rsidRPr="009C46CB">
        <w:t xml:space="preserve"> ve </w:t>
      </w:r>
      <w:proofErr w:type="spellStart"/>
      <w:r w:rsidRPr="009C46CB">
        <w:t>Ohannes</w:t>
      </w:r>
      <w:proofErr w:type="spellEnd"/>
      <w:r w:rsidRPr="009C46CB">
        <w:t xml:space="preserve"> </w:t>
      </w:r>
      <w:proofErr w:type="spellStart"/>
      <w:r w:rsidRPr="009C46CB">
        <w:t>Garbis</w:t>
      </w:r>
      <w:proofErr w:type="spellEnd"/>
      <w:r w:rsidRPr="009C46CB">
        <w:t xml:space="preserve"> </w:t>
      </w:r>
      <w:proofErr w:type="spellStart"/>
      <w:r w:rsidRPr="009C46CB">
        <w:t>Balmumciyan</w:t>
      </w:r>
      <w:proofErr w:type="spellEnd"/>
      <w:r w:rsidRPr="009C46CB">
        <w:t xml:space="preserve"> [GK], B. No: 2014/17354, 22/5/2019.</w:t>
      </w:r>
    </w:p>
  </w:footnote>
  <w:footnote w:id="14">
    <w:p w:rsidR="009C46CB" w:rsidRDefault="009C46CB">
      <w:pPr>
        <w:pStyle w:val="DipnotMetni"/>
      </w:pPr>
      <w:r>
        <w:rPr>
          <w:rStyle w:val="DipnotBavurusu"/>
        </w:rPr>
        <w:footnoteRef/>
      </w:r>
      <w:r>
        <w:t xml:space="preserve"> </w:t>
      </w:r>
      <w:r w:rsidRPr="009C46CB">
        <w:t>Bekir Coşkun [GK], B. No: 2014/12151, 4/6/2015, § 51; Mehmet Ali Aydın [GK], B. No: 2013/9343, 4/6/2015, § 68.</w:t>
      </w:r>
    </w:p>
  </w:footnote>
  <w:footnote w:id="15">
    <w:p w:rsidR="009C46CB" w:rsidRDefault="009C46CB">
      <w:pPr>
        <w:pStyle w:val="DipnotMetni"/>
      </w:pPr>
      <w:r>
        <w:rPr>
          <w:rStyle w:val="DipnotBavurusu"/>
        </w:rPr>
        <w:footnoteRef/>
      </w:r>
      <w:r>
        <w:t xml:space="preserve"> </w:t>
      </w:r>
      <w:r w:rsidRPr="009C46CB">
        <w:t>AYM, E.2019/9, K.2019/27, 11/4/2019, §§ 13-20; AYM, E.2020/81, K.2021/4, 14/01/2021, §§ 20-25.</w:t>
      </w:r>
    </w:p>
  </w:footnote>
  <w:footnote w:id="16">
    <w:p w:rsidR="009C46CB" w:rsidRDefault="009C46CB">
      <w:pPr>
        <w:pStyle w:val="DipnotMetni"/>
      </w:pPr>
      <w:r>
        <w:rPr>
          <w:rStyle w:val="DipnotBavurusu"/>
        </w:rPr>
        <w:footnoteRef/>
      </w:r>
      <w:r>
        <w:t xml:space="preserve"> </w:t>
      </w:r>
      <w:r w:rsidRPr="009C46CB">
        <w:t xml:space="preserve">Ünal </w:t>
      </w:r>
      <w:proofErr w:type="spellStart"/>
      <w:r w:rsidRPr="009C46CB">
        <w:t>Gökpınar</w:t>
      </w:r>
      <w:proofErr w:type="spellEnd"/>
      <w:r w:rsidRPr="009C46CB">
        <w:t xml:space="preserve"> [GK], B. No: 2018/9115, 27/3/2019, § 50; AYM, E.2019/4, K.2021/78, 4/11/2021.</w:t>
      </w:r>
    </w:p>
  </w:footnote>
  <w:footnote w:id="17">
    <w:p w:rsidR="009C46CB" w:rsidRDefault="009C46CB">
      <w:pPr>
        <w:pStyle w:val="DipnotMetni"/>
      </w:pPr>
      <w:r>
        <w:rPr>
          <w:rStyle w:val="DipnotBavurusu"/>
        </w:rPr>
        <w:footnoteRef/>
      </w:r>
      <w:r>
        <w:t xml:space="preserve"> </w:t>
      </w:r>
      <w:r w:rsidRPr="009C46CB">
        <w:t>AYM, E.2021/104, K.2021/87, 11/11/2021; AYM, E.2020/77, K.2021/93, 16/12/2021.</w:t>
      </w:r>
    </w:p>
  </w:footnote>
  <w:footnote w:id="18">
    <w:p w:rsidR="009C46CB" w:rsidRDefault="009C46CB">
      <w:pPr>
        <w:pStyle w:val="DipnotMetni"/>
      </w:pPr>
      <w:r>
        <w:rPr>
          <w:rStyle w:val="DipnotBavurusu"/>
        </w:rPr>
        <w:footnoteRef/>
      </w:r>
      <w:r>
        <w:t xml:space="preserve"> </w:t>
      </w:r>
      <w:r w:rsidRPr="009C46CB">
        <w:t>İstatistikler için bkz. https://www.anayasa.gov.tr/media/7946/bb_2022-1_tr.pdf</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BB"/>
    <w:rsid w:val="00190924"/>
    <w:rsid w:val="0046274D"/>
    <w:rsid w:val="009C46CB"/>
    <w:rsid w:val="00B852BB"/>
    <w:rsid w:val="00FC3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0E30"/>
  <w15:chartTrackingRefBased/>
  <w15:docId w15:val="{1398B983-D2B7-4F2D-9121-4B34CA53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B852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852B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B852BB"/>
    <w:rPr>
      <w:b/>
      <w:bCs/>
    </w:rPr>
  </w:style>
  <w:style w:type="paragraph" w:styleId="NormalWeb">
    <w:name w:val="Normal (Web)"/>
    <w:basedOn w:val="Normal"/>
    <w:uiPriority w:val="99"/>
    <w:semiHidden/>
    <w:unhideWhenUsed/>
    <w:rsid w:val="00B852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52BB"/>
    <w:rPr>
      <w:i/>
      <w:iCs/>
    </w:rPr>
  </w:style>
  <w:style w:type="character" w:styleId="Kpr">
    <w:name w:val="Hyperlink"/>
    <w:basedOn w:val="VarsaylanParagrafYazTipi"/>
    <w:uiPriority w:val="99"/>
    <w:semiHidden/>
    <w:unhideWhenUsed/>
    <w:rsid w:val="00B852BB"/>
    <w:rPr>
      <w:color w:val="0000FF"/>
      <w:u w:val="single"/>
    </w:rPr>
  </w:style>
  <w:style w:type="paragraph" w:styleId="stBilgi">
    <w:name w:val="header"/>
    <w:basedOn w:val="Normal"/>
    <w:link w:val="stBilgiChar"/>
    <w:uiPriority w:val="99"/>
    <w:unhideWhenUsed/>
    <w:rsid w:val="00B852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2BB"/>
  </w:style>
  <w:style w:type="paragraph" w:styleId="AltBilgi">
    <w:name w:val="footer"/>
    <w:basedOn w:val="Normal"/>
    <w:link w:val="AltBilgiChar"/>
    <w:uiPriority w:val="99"/>
    <w:unhideWhenUsed/>
    <w:rsid w:val="00B852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52BB"/>
  </w:style>
  <w:style w:type="paragraph" w:styleId="DipnotMetni">
    <w:name w:val="footnote text"/>
    <w:basedOn w:val="Normal"/>
    <w:link w:val="DipnotMetniChar"/>
    <w:uiPriority w:val="99"/>
    <w:semiHidden/>
    <w:unhideWhenUsed/>
    <w:rsid w:val="009C46C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C46CB"/>
    <w:rPr>
      <w:sz w:val="20"/>
      <w:szCs w:val="20"/>
    </w:rPr>
  </w:style>
  <w:style w:type="character" w:styleId="DipnotBavurusu">
    <w:name w:val="footnote reference"/>
    <w:basedOn w:val="VarsaylanParagrafYazTipi"/>
    <w:uiPriority w:val="99"/>
    <w:semiHidden/>
    <w:unhideWhenUsed/>
    <w:rsid w:val="009C46CB"/>
    <w:rPr>
      <w:vertAlign w:val="superscript"/>
    </w:rPr>
  </w:style>
  <w:style w:type="paragraph" w:styleId="SonNotMetni">
    <w:name w:val="endnote text"/>
    <w:basedOn w:val="Normal"/>
    <w:link w:val="SonNotMetniChar"/>
    <w:uiPriority w:val="99"/>
    <w:semiHidden/>
    <w:unhideWhenUsed/>
    <w:rsid w:val="009C46CB"/>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C46CB"/>
    <w:rPr>
      <w:sz w:val="20"/>
      <w:szCs w:val="20"/>
    </w:rPr>
  </w:style>
  <w:style w:type="character" w:styleId="SonNotBavurusu">
    <w:name w:val="endnote reference"/>
    <w:basedOn w:val="VarsaylanParagrafYazTipi"/>
    <w:uiPriority w:val="99"/>
    <w:semiHidden/>
    <w:unhideWhenUsed/>
    <w:rsid w:val="009C4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44CD-356D-4A22-A331-64C7EE66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3796</Words>
  <Characters>21638</Characters>
  <Application>Microsoft Office Word</Application>
  <DocSecurity>0</DocSecurity>
  <Lines>180</Lines>
  <Paragraphs>50</Paragraphs>
  <ScaleCrop>false</ScaleCrop>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2024-02-20T07:56:00Z</dcterms:created>
  <dcterms:modified xsi:type="dcterms:W3CDTF">2024-05-02T11:12:00Z</dcterms:modified>
</cp:coreProperties>
</file>