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D8C" w:rsidRPr="008F1D8C" w:rsidRDefault="008F1D8C" w:rsidP="008F1D8C">
      <w:pPr>
        <w:spacing w:after="100" w:afterAutospacing="1" w:line="375" w:lineRule="atLeast"/>
        <w:jc w:val="center"/>
        <w:rPr>
          <w:rFonts w:ascii="Arial" w:eastAsia="Times New Roman" w:hAnsi="Arial" w:cs="Arial"/>
          <w:color w:val="323232"/>
          <w:sz w:val="21"/>
          <w:szCs w:val="21"/>
          <w:lang w:eastAsia="tr-TR"/>
        </w:rPr>
      </w:pPr>
      <w:r w:rsidRPr="008F1D8C">
        <w:rPr>
          <w:rFonts w:ascii="Arial" w:eastAsia="Times New Roman" w:hAnsi="Arial" w:cs="Arial"/>
          <w:b/>
          <w:bCs/>
          <w:i/>
          <w:iCs/>
          <w:color w:val="323232"/>
          <w:sz w:val="21"/>
          <w:szCs w:val="21"/>
          <w:lang w:eastAsia="tr-TR"/>
        </w:rPr>
        <w:t>Anayasal Yorumun Dinamikleri ve Anayasa Mahkemesi</w:t>
      </w:r>
      <w:bookmarkStart w:id="0" w:name="_ftnref1"/>
      <w:r w:rsidRPr="008F1D8C">
        <w:rPr>
          <w:rFonts w:ascii="Arial" w:eastAsia="Times New Roman" w:hAnsi="Arial" w:cs="Arial"/>
          <w:b/>
          <w:bCs/>
          <w:i/>
          <w:iCs/>
          <w:color w:val="323232"/>
          <w:sz w:val="21"/>
          <w:szCs w:val="21"/>
          <w:lang w:eastAsia="tr-TR"/>
        </w:rPr>
        <w:fldChar w:fldCharType="begin"/>
      </w:r>
      <w:r w:rsidRPr="008F1D8C">
        <w:rPr>
          <w:rFonts w:ascii="Arial" w:eastAsia="Times New Roman" w:hAnsi="Arial" w:cs="Arial"/>
          <w:b/>
          <w:bCs/>
          <w:i/>
          <w:iCs/>
          <w:color w:val="323232"/>
          <w:sz w:val="21"/>
          <w:szCs w:val="21"/>
          <w:lang w:eastAsia="tr-TR"/>
        </w:rPr>
        <w:instrText xml:space="preserve"> HYPERLINK "https://www.anayasa.gov.tr/tr/baskan/konusmalar/anayasal-yorumun-dinamikleri-ve-anayasa-mahkemesi/" \l "_ftn1" </w:instrText>
      </w:r>
      <w:r w:rsidRPr="008F1D8C">
        <w:rPr>
          <w:rFonts w:ascii="Arial" w:eastAsia="Times New Roman" w:hAnsi="Arial" w:cs="Arial"/>
          <w:b/>
          <w:bCs/>
          <w:i/>
          <w:iCs/>
          <w:color w:val="323232"/>
          <w:sz w:val="21"/>
          <w:szCs w:val="21"/>
          <w:lang w:eastAsia="tr-TR"/>
        </w:rPr>
        <w:fldChar w:fldCharType="separate"/>
      </w:r>
      <w:r w:rsidRPr="008F1D8C">
        <w:rPr>
          <w:rFonts w:ascii="Arial" w:eastAsia="Times New Roman" w:hAnsi="Arial" w:cs="Arial"/>
          <w:b/>
          <w:bCs/>
          <w:i/>
          <w:iCs/>
          <w:color w:val="323232"/>
          <w:sz w:val="21"/>
          <w:szCs w:val="21"/>
          <w:lang w:eastAsia="tr-TR"/>
        </w:rPr>
        <w:t>*</w:t>
      </w:r>
      <w:r w:rsidRPr="008F1D8C">
        <w:rPr>
          <w:rFonts w:ascii="Arial" w:eastAsia="Times New Roman" w:hAnsi="Arial" w:cs="Arial"/>
          <w:b/>
          <w:bCs/>
          <w:i/>
          <w:iCs/>
          <w:color w:val="323232"/>
          <w:sz w:val="21"/>
          <w:szCs w:val="21"/>
          <w:lang w:eastAsia="tr-TR"/>
        </w:rPr>
        <w:fldChar w:fldCharType="end"/>
      </w:r>
      <w:bookmarkEnd w:id="0"/>
    </w:p>
    <w:p w:rsidR="008F1D8C" w:rsidRPr="008F1D8C" w:rsidRDefault="008F1D8C" w:rsidP="008F1D8C">
      <w:pPr>
        <w:spacing w:after="100" w:afterAutospacing="1" w:line="375" w:lineRule="atLeast"/>
        <w:jc w:val="center"/>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Zühtü Arslan</w:t>
      </w:r>
      <w:bookmarkStart w:id="1" w:name="_ftnref2"/>
      <w:r w:rsidRPr="008F1D8C">
        <w:rPr>
          <w:rFonts w:ascii="Arial" w:eastAsia="Times New Roman" w:hAnsi="Arial" w:cs="Arial"/>
          <w:color w:val="323232"/>
          <w:sz w:val="21"/>
          <w:szCs w:val="21"/>
          <w:lang w:eastAsia="tr-TR"/>
        </w:rPr>
        <w:fldChar w:fldCharType="begin"/>
      </w:r>
      <w:r w:rsidRPr="008F1D8C">
        <w:rPr>
          <w:rFonts w:ascii="Arial" w:eastAsia="Times New Roman" w:hAnsi="Arial" w:cs="Arial"/>
          <w:color w:val="323232"/>
          <w:sz w:val="21"/>
          <w:szCs w:val="21"/>
          <w:lang w:eastAsia="tr-TR"/>
        </w:rPr>
        <w:instrText xml:space="preserve"> HYPERLINK "https://www.anayasa.gov.tr/tr/baskan/konusmalar/anayasal-yorumun-dinamikleri-ve-anayasa-mahkemesi/" \l "_ftn2" </w:instrText>
      </w:r>
      <w:r w:rsidRPr="008F1D8C">
        <w:rPr>
          <w:rFonts w:ascii="Arial" w:eastAsia="Times New Roman" w:hAnsi="Arial" w:cs="Arial"/>
          <w:color w:val="323232"/>
          <w:sz w:val="21"/>
          <w:szCs w:val="21"/>
          <w:lang w:eastAsia="tr-TR"/>
        </w:rPr>
        <w:fldChar w:fldCharType="separate"/>
      </w:r>
      <w:r w:rsidRPr="008F1D8C">
        <w:rPr>
          <w:rFonts w:ascii="Arial" w:eastAsia="Times New Roman" w:hAnsi="Arial" w:cs="Arial"/>
          <w:i/>
          <w:iCs/>
          <w:color w:val="323232"/>
          <w:sz w:val="21"/>
          <w:szCs w:val="21"/>
          <w:lang w:eastAsia="tr-TR"/>
        </w:rPr>
        <w:t>**</w:t>
      </w:r>
      <w:r w:rsidRPr="008F1D8C">
        <w:rPr>
          <w:rFonts w:ascii="Arial" w:eastAsia="Times New Roman" w:hAnsi="Arial" w:cs="Arial"/>
          <w:color w:val="323232"/>
          <w:sz w:val="21"/>
          <w:szCs w:val="21"/>
          <w:lang w:eastAsia="tr-TR"/>
        </w:rPr>
        <w:fldChar w:fldCharType="end"/>
      </w:r>
      <w:bookmarkEnd w:id="1"/>
    </w:p>
    <w:p w:rsidR="008F1D8C" w:rsidRPr="008F1D8C" w:rsidRDefault="008F1D8C" w:rsidP="008F1D8C">
      <w:pPr>
        <w:spacing w:after="100" w:afterAutospacing="1" w:line="375" w:lineRule="atLeast"/>
        <w:rPr>
          <w:rFonts w:ascii="Arial" w:eastAsia="Times New Roman" w:hAnsi="Arial" w:cs="Arial"/>
          <w:color w:val="323232"/>
          <w:sz w:val="21"/>
          <w:szCs w:val="21"/>
          <w:lang w:eastAsia="tr-TR"/>
        </w:rPr>
      </w:pPr>
      <w:r w:rsidRPr="008F1D8C">
        <w:rPr>
          <w:rFonts w:ascii="Arial" w:eastAsia="Times New Roman" w:hAnsi="Arial" w:cs="Arial"/>
          <w:b/>
          <w:bCs/>
          <w:color w:val="323232"/>
          <w:sz w:val="21"/>
          <w:szCs w:val="21"/>
          <w:lang w:eastAsia="tr-TR"/>
        </w:rPr>
        <w:t>Değerli Katılımcılar,</w:t>
      </w:r>
      <w:r w:rsidRPr="008F1D8C">
        <w:rPr>
          <w:rFonts w:ascii="Arial" w:eastAsia="Times New Roman" w:hAnsi="Arial" w:cs="Arial"/>
          <w:b/>
          <w:bCs/>
          <w:color w:val="323232"/>
          <w:sz w:val="21"/>
          <w:szCs w:val="21"/>
          <w:lang w:eastAsia="tr-TR"/>
        </w:rPr>
        <w:br/>
        <w:t>Hanımefendiler, Beyefendiler,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Öncelikle sizleri en içten duygularımla, muhabbetle ve saygıyla selamlıyorum.</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Mahkemesi Anayasa Yargısı Araştırmaları Merkezi (AYAM) ile Koç Üniversitesi Hukuk Fakültesi tarafından ortaklaşa düzenlenen konferansta sizlerle birlikte olmaktan duyduğum memnuniyeti ifade etmek isterim. Konferansa ev sahipliği yapan Üniversitenin değerli rektörüne, hukuk fakültesinin değerli dekanına ve tüm mensuplarına şükranlarımı sunuyorum.</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Ayrıca konferansın organizasyonunda emeği geçen herkese, oturum başkanlarına ve konuşmacılara katkılarından dolayı şimdiden teşekkür ediyor, toplantının başarılı ve verimli geçmesini temenni ediyorum.</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Konferansın başlığı “</w:t>
      </w:r>
      <w:r w:rsidRPr="008F1D8C">
        <w:rPr>
          <w:rFonts w:ascii="Arial" w:eastAsia="Times New Roman" w:hAnsi="Arial" w:cs="Arial"/>
          <w:i/>
          <w:iCs/>
          <w:color w:val="323232"/>
          <w:sz w:val="21"/>
          <w:szCs w:val="21"/>
          <w:lang w:eastAsia="tr-TR"/>
        </w:rPr>
        <w:t>Anayasal Yorumun Geleceği</w:t>
      </w:r>
      <w:r w:rsidRPr="008F1D8C">
        <w:rPr>
          <w:rFonts w:ascii="Arial" w:eastAsia="Times New Roman" w:hAnsi="Arial" w:cs="Arial"/>
          <w:color w:val="323232"/>
          <w:sz w:val="21"/>
          <w:szCs w:val="21"/>
          <w:lang w:eastAsia="tr-TR"/>
        </w:rPr>
        <w:t>” ancak ben başlangıç noktası olması amacıyla ülkemizde anayasal yorumun bugününe dair bazı düşüncelerimi sizlerle paylaşmak istiyorum. Konuşmamda birbiriyle bağlantılı dört hususu Anayasa’mızdan ve anayasa yargısı pratiğimizden hareketle kısaca açıklamaya çalışacağım.</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Evvela “</w:t>
      </w:r>
      <w:r w:rsidRPr="008F1D8C">
        <w:rPr>
          <w:rFonts w:ascii="Arial" w:eastAsia="Times New Roman" w:hAnsi="Arial" w:cs="Arial"/>
          <w:i/>
          <w:iCs/>
          <w:color w:val="323232"/>
          <w:sz w:val="21"/>
          <w:szCs w:val="21"/>
          <w:lang w:eastAsia="tr-TR"/>
        </w:rPr>
        <w:t>Yorum nedir ve neden gereklidi</w:t>
      </w:r>
      <w:r w:rsidRPr="008F1D8C">
        <w:rPr>
          <w:rFonts w:ascii="Arial" w:eastAsia="Times New Roman" w:hAnsi="Arial" w:cs="Arial"/>
          <w:color w:val="323232"/>
          <w:sz w:val="21"/>
          <w:szCs w:val="21"/>
          <w:lang w:eastAsia="tr-TR"/>
        </w:rPr>
        <w:t>r?” şeklindeki soruya cevap arayarak anayasal yorum meselesine kavramsal bir giriş yapacağız. İkinci olarak anayasal yorumun çerçevesine ve sınırlarına değineceğiz. Üçüncü olarak anayasal yorumu belirleyen iç içe geçmiş üç daireden hareketle Anayasa Mahkemesinin anayasa hükümlerini yorumlarken benimsediği hak eksenli paradigmayı açıklamaya çalışacağız. Son olarak sağlam bir anayasal yorumun inşası ve mimarisinin gerektirdiği asgari şartları ele alacağız.</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b/>
          <w:bCs/>
          <w:i/>
          <w:iCs/>
          <w:color w:val="323232"/>
          <w:sz w:val="21"/>
          <w:szCs w:val="21"/>
          <w:lang w:eastAsia="tr-TR"/>
        </w:rPr>
        <w:t>1. Kavramsal Giriş: Yorum Nedir ve Neden Gereklidir?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Yorum en genel manada yorumlanan “</w:t>
      </w:r>
      <w:r w:rsidRPr="008F1D8C">
        <w:rPr>
          <w:rFonts w:ascii="Arial" w:eastAsia="Times New Roman" w:hAnsi="Arial" w:cs="Arial"/>
          <w:i/>
          <w:iCs/>
          <w:color w:val="323232"/>
          <w:sz w:val="21"/>
          <w:szCs w:val="21"/>
          <w:lang w:eastAsia="tr-TR"/>
        </w:rPr>
        <w:t>bir nesneye anlam verme</w:t>
      </w:r>
      <w:r w:rsidRPr="008F1D8C">
        <w:rPr>
          <w:rFonts w:ascii="Arial" w:eastAsia="Times New Roman" w:hAnsi="Arial" w:cs="Arial"/>
          <w:color w:val="323232"/>
          <w:sz w:val="21"/>
          <w:szCs w:val="21"/>
          <w:lang w:eastAsia="tr-TR"/>
        </w:rPr>
        <w:t>” olarak tanımlanmaktadır.</w:t>
      </w:r>
      <w:r w:rsidR="00BA5B93">
        <w:rPr>
          <w:rStyle w:val="DipnotBavurusu"/>
          <w:rFonts w:ascii="Arial" w:eastAsia="Times New Roman" w:hAnsi="Arial" w:cs="Arial"/>
          <w:color w:val="323232"/>
          <w:sz w:val="21"/>
          <w:szCs w:val="21"/>
          <w:lang w:eastAsia="tr-TR"/>
        </w:rPr>
        <w:footnoteReference w:id="1"/>
      </w:r>
      <w:r w:rsidRPr="008F1D8C">
        <w:rPr>
          <w:rFonts w:ascii="Arial" w:eastAsia="Times New Roman" w:hAnsi="Arial" w:cs="Arial"/>
          <w:color w:val="323232"/>
          <w:sz w:val="21"/>
          <w:szCs w:val="21"/>
          <w:lang w:eastAsia="tr-TR"/>
        </w:rPr>
        <w:t> Hukuksal yorum ise uyuşmazlığın konusu olan olay ve olgular ile uyuşmazlığa uygulanacak kuralların anlamını belirleme işidir. Anayasal uyuşmazlıklara uygulanacak anayasa hükümlerinin anlamlandırılması söz konusu olduğunda da karşımıza </w:t>
      </w:r>
      <w:r w:rsidRPr="008F1D8C">
        <w:rPr>
          <w:rFonts w:ascii="Arial" w:eastAsia="Times New Roman" w:hAnsi="Arial" w:cs="Arial"/>
          <w:i/>
          <w:iCs/>
          <w:color w:val="323232"/>
          <w:sz w:val="21"/>
          <w:szCs w:val="21"/>
          <w:lang w:eastAsia="tr-TR"/>
        </w:rPr>
        <w:t>anayasal yorum</w:t>
      </w:r>
      <w:r w:rsidRPr="008F1D8C">
        <w:rPr>
          <w:rFonts w:ascii="Arial" w:eastAsia="Times New Roman" w:hAnsi="Arial" w:cs="Arial"/>
          <w:color w:val="323232"/>
          <w:sz w:val="21"/>
          <w:szCs w:val="21"/>
          <w:lang w:eastAsia="tr-TR"/>
        </w:rPr>
        <w:t> kavramı çıkmaktadır.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lastRenderedPageBreak/>
        <w:t>Bir anlamlandırma eylemi olarak yorumu gerekli kılan husus, bu eylemin aracı olan dilin muğlak ve çok anlamlılığa açık doğasıdır. Bunun yanında, bir hukuk sisteminde normlar arasında belirleyici ve bağlayıcı bir ilişkinin bulunması hukuksal yorumu, özel olarak da anayasal yorumu zorunlu kılmaktadır.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Nitekim </w:t>
      </w:r>
      <w:proofErr w:type="spellStart"/>
      <w:r w:rsidRPr="008F1D8C">
        <w:rPr>
          <w:rFonts w:ascii="Arial" w:eastAsia="Times New Roman" w:hAnsi="Arial" w:cs="Arial"/>
          <w:color w:val="323232"/>
          <w:sz w:val="21"/>
          <w:szCs w:val="21"/>
          <w:lang w:eastAsia="tr-TR"/>
        </w:rPr>
        <w:t>Hans</w:t>
      </w:r>
      <w:proofErr w:type="spellEnd"/>
      <w:r w:rsidRPr="008F1D8C">
        <w:rPr>
          <w:rFonts w:ascii="Arial" w:eastAsia="Times New Roman" w:hAnsi="Arial" w:cs="Arial"/>
          <w:color w:val="323232"/>
          <w:sz w:val="21"/>
          <w:szCs w:val="21"/>
          <w:lang w:eastAsia="tr-TR"/>
        </w:rPr>
        <w:t xml:space="preserve"> Kelsen, bir üst norm olarak anayasanın kanunların hem ihdası anlamında usulünü hem de içeriğini belirlediğini söyler. </w:t>
      </w:r>
      <w:proofErr w:type="spellStart"/>
      <w:r w:rsidRPr="008F1D8C">
        <w:rPr>
          <w:rFonts w:ascii="Arial" w:eastAsia="Times New Roman" w:hAnsi="Arial" w:cs="Arial"/>
          <w:color w:val="323232"/>
          <w:sz w:val="21"/>
          <w:szCs w:val="21"/>
          <w:lang w:eastAsia="tr-TR"/>
        </w:rPr>
        <w:t>Kelsen’e</w:t>
      </w:r>
      <w:proofErr w:type="spellEnd"/>
      <w:r w:rsidRPr="008F1D8C">
        <w:rPr>
          <w:rFonts w:ascii="Arial" w:eastAsia="Times New Roman" w:hAnsi="Arial" w:cs="Arial"/>
          <w:color w:val="323232"/>
          <w:sz w:val="21"/>
          <w:szCs w:val="21"/>
          <w:lang w:eastAsia="tr-TR"/>
        </w:rPr>
        <w:t xml:space="preserve"> göre temel hak ve özgürlükleri güvenceye alan anayasal hükümler -en azından negatif olarak- kanunların bu hak ve özgürlüklere müdahalesini engellemek suretiyle içerik açısından belirleyici olmaktadır.</w:t>
      </w:r>
      <w:r w:rsidR="00BA5B93">
        <w:rPr>
          <w:rStyle w:val="DipnotBavurusu"/>
          <w:rFonts w:ascii="Arial" w:eastAsia="Times New Roman" w:hAnsi="Arial" w:cs="Arial"/>
          <w:color w:val="323232"/>
          <w:sz w:val="21"/>
          <w:szCs w:val="21"/>
          <w:lang w:eastAsia="tr-TR"/>
        </w:rPr>
        <w:footnoteReference w:id="2"/>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Anayasa’mızın “</w:t>
      </w:r>
      <w:r w:rsidRPr="008F1D8C">
        <w:rPr>
          <w:rFonts w:ascii="Arial" w:eastAsia="Times New Roman" w:hAnsi="Arial" w:cs="Arial"/>
          <w:i/>
          <w:iCs/>
          <w:color w:val="323232"/>
          <w:sz w:val="21"/>
          <w:szCs w:val="21"/>
          <w:lang w:eastAsia="tr-TR"/>
        </w:rPr>
        <w:t>Anayasa’nın bağlayıcılığı ve üstünlüğü</w:t>
      </w:r>
      <w:r w:rsidRPr="008F1D8C">
        <w:rPr>
          <w:rFonts w:ascii="Arial" w:eastAsia="Times New Roman" w:hAnsi="Arial" w:cs="Arial"/>
          <w:color w:val="323232"/>
          <w:sz w:val="21"/>
          <w:szCs w:val="21"/>
          <w:lang w:eastAsia="tr-TR"/>
        </w:rPr>
        <w:t xml:space="preserve">” kenar başlıklı 11. maddesi aslında </w:t>
      </w:r>
      <w:proofErr w:type="spellStart"/>
      <w:r w:rsidRPr="008F1D8C">
        <w:rPr>
          <w:rFonts w:ascii="Arial" w:eastAsia="Times New Roman" w:hAnsi="Arial" w:cs="Arial"/>
          <w:color w:val="323232"/>
          <w:sz w:val="21"/>
          <w:szCs w:val="21"/>
          <w:lang w:eastAsia="tr-TR"/>
        </w:rPr>
        <w:t>Kelsen’in</w:t>
      </w:r>
      <w:proofErr w:type="spellEnd"/>
      <w:r w:rsidRPr="008F1D8C">
        <w:rPr>
          <w:rFonts w:ascii="Arial" w:eastAsia="Times New Roman" w:hAnsi="Arial" w:cs="Arial"/>
          <w:color w:val="323232"/>
          <w:sz w:val="21"/>
          <w:szCs w:val="21"/>
          <w:lang w:eastAsia="tr-TR"/>
        </w:rPr>
        <w:t xml:space="preserve"> söylediğini ete kemiğe büründürmektedir. Buna göre kanunlar, bağlayıcı temel hukuk kurallarını içeren Anayasa’ya aykırı olamaz. Anayasa’nın 13. maddesi de temel hak ve özgürlükleri sınırlandıran kanunların taşıması gereken nitelikleri belirterek onların içeriğini belirlemektedir. Bu bağlamda temel hak ve özgürlükleri sınırlayan yasal hükümlerin, bunların özüne dokunmaması, meşru amacının bulunması, demokratik toplum düzeninin gereklerine ve ölçülülük ilkesine uygun olması zorunludur.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Kanunların ve kanunlara dayalı kamu gücü işlemlerinin Anayasa’ya uygunluğu denetimi de yorumu gerektirmektedir. Belirtmek gerekir ki, anayasa yargısında yorum zorunlu olarak çift yönlüdür. Bir yandan denetlenen normun veya kamu gücü işleminin anlam ve kapsamının belirlenmesi, diğer yandan da denetimde ölçü norm olarak alınan ve üst norm niteliğindeki anayasal hükmün yorumu söz konusudur.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Bununla birlikte Mahkeme, kanun hükmünün lafzı ve amacı dikkate alınarak yorumlanması suretiyle somut uyuşmazlıkların çözümlenmesi gerektiğine vurgu yapmakta ancak norm denetiminde anayasallık denetiminin konusunun normun yorumu ve uygulanması değil, bizatihi kendisi olduğunu belirtmektedir. Anayasa Mahkemesine göre denetlenen “</w:t>
      </w:r>
      <w:r w:rsidRPr="008F1D8C">
        <w:rPr>
          <w:rFonts w:ascii="Arial" w:eastAsia="Times New Roman" w:hAnsi="Arial" w:cs="Arial"/>
          <w:i/>
          <w:iCs/>
          <w:color w:val="323232"/>
          <w:sz w:val="21"/>
          <w:szCs w:val="21"/>
          <w:lang w:eastAsia="tr-TR"/>
        </w:rPr>
        <w:t>kuraldan ziyade kuralın yorumlanması ile ilgili olarak çıkabilecek sorunlar anayasallık denetiminin konusu dışında kalmaktadır</w:t>
      </w:r>
      <w:r w:rsidRPr="008F1D8C">
        <w:rPr>
          <w:rFonts w:ascii="Arial" w:eastAsia="Times New Roman" w:hAnsi="Arial" w:cs="Arial"/>
          <w:color w:val="323232"/>
          <w:sz w:val="21"/>
          <w:szCs w:val="21"/>
          <w:lang w:eastAsia="tr-TR"/>
        </w:rPr>
        <w:t>” (AYM, E.2017/135, K.2019/35, 15/05/2019, § 31).</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Elbette norm denetiminde geçerli olan bu yaklaşım, bireysel başvuruda farklılaşmaktadır. Zira Anayasa Mahkemesi bireysel başvuruda bir normun yorumlanarak somut olaya uygulanmasıyla ortaya çıkan kamu gücü işleminin anayasallığını denetlemektedir. Böyle olunca da derece </w:t>
      </w:r>
      <w:r w:rsidRPr="008F1D8C">
        <w:rPr>
          <w:rFonts w:ascii="Arial" w:eastAsia="Times New Roman" w:hAnsi="Arial" w:cs="Arial"/>
          <w:color w:val="323232"/>
          <w:sz w:val="21"/>
          <w:szCs w:val="21"/>
          <w:lang w:eastAsia="tr-TR"/>
        </w:rPr>
        <w:lastRenderedPageBreak/>
        <w:t>mahkemeleri tarafından somut uyuşmazlığa uygulanan anayasal ve yasal hükümlerin yorumunun bir temel hak ve özgürlüğün ihlaline neden olup olmadığı incelenmektedir.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b/>
          <w:bCs/>
          <w:i/>
          <w:iCs/>
          <w:color w:val="323232"/>
          <w:sz w:val="21"/>
          <w:szCs w:val="21"/>
          <w:lang w:eastAsia="tr-TR"/>
        </w:rPr>
        <w:t>2. Anayasal Yorumun Çerçevesi ve Sınırları</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Bilindiği üzere genelde yorum özelde ise anayasal yorum boşlukta oluşmaz. Yorumu etkileyen, belirleyen ve sınırlayan birçok unsur vardır. Bunların başında kelimelerin kullanımla anlamlarını belirlediğimiz dilimiz gelmektedir. Geçen yüzyılın en büyük dil felsefecilerinden olan </w:t>
      </w:r>
      <w:proofErr w:type="spellStart"/>
      <w:r w:rsidRPr="008F1D8C">
        <w:rPr>
          <w:rFonts w:ascii="Arial" w:eastAsia="Times New Roman" w:hAnsi="Arial" w:cs="Arial"/>
          <w:color w:val="323232"/>
          <w:sz w:val="21"/>
          <w:szCs w:val="21"/>
          <w:lang w:eastAsia="tr-TR"/>
        </w:rPr>
        <w:t>Wittgenstein’ın</w:t>
      </w:r>
      <w:proofErr w:type="spellEnd"/>
      <w:r w:rsidRPr="008F1D8C">
        <w:rPr>
          <w:rFonts w:ascii="Arial" w:eastAsia="Times New Roman" w:hAnsi="Arial" w:cs="Arial"/>
          <w:color w:val="323232"/>
          <w:sz w:val="21"/>
          <w:szCs w:val="21"/>
          <w:lang w:eastAsia="tr-TR"/>
        </w:rPr>
        <w:t xml:space="preserve"> dediği gibi “</w:t>
      </w:r>
      <w:r w:rsidRPr="008F1D8C">
        <w:rPr>
          <w:rFonts w:ascii="Arial" w:eastAsia="Times New Roman" w:hAnsi="Arial" w:cs="Arial"/>
          <w:i/>
          <w:iCs/>
          <w:color w:val="323232"/>
          <w:sz w:val="21"/>
          <w:szCs w:val="21"/>
          <w:lang w:eastAsia="tr-TR"/>
        </w:rPr>
        <w:t>Dilimin sınırları, dünyamın sınırlarıdır.</w:t>
      </w:r>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3"/>
      </w:r>
      <w:r w:rsidRPr="008F1D8C">
        <w:rPr>
          <w:rFonts w:ascii="Arial" w:eastAsia="Times New Roman" w:hAnsi="Arial" w:cs="Arial"/>
          <w:color w:val="323232"/>
          <w:sz w:val="21"/>
          <w:szCs w:val="21"/>
          <w:lang w:eastAsia="tr-TR"/>
        </w:rPr>
        <w:t> Bu durum yorum için de geçerlidir. Dil bir yandan yorumu gerekli ve mümkün kılmakta diğer yandan da yorumun sınırlarını belirlemektedir.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Diğer yandan anayasanın dilini anlamak ve açıklamak için kullanılan farklı yorum yöntemlerinin olduğu hepimizin malumudur. Anayasal kuralın ihdas edildiği dönemdeki anlamının esas olduğunu savunan “</w:t>
      </w:r>
      <w:proofErr w:type="spellStart"/>
      <w:r w:rsidRPr="008F1D8C">
        <w:rPr>
          <w:rFonts w:ascii="Arial" w:eastAsia="Times New Roman" w:hAnsi="Arial" w:cs="Arial"/>
          <w:i/>
          <w:iCs/>
          <w:color w:val="323232"/>
          <w:sz w:val="21"/>
          <w:szCs w:val="21"/>
          <w:lang w:eastAsia="tr-TR"/>
        </w:rPr>
        <w:t>orijinalizm</w:t>
      </w:r>
      <w:proofErr w:type="spellEnd"/>
      <w:r w:rsidRPr="008F1D8C">
        <w:rPr>
          <w:rFonts w:ascii="Arial" w:eastAsia="Times New Roman" w:hAnsi="Arial" w:cs="Arial"/>
          <w:color w:val="323232"/>
          <w:sz w:val="21"/>
          <w:szCs w:val="21"/>
          <w:lang w:eastAsia="tr-TR"/>
        </w:rPr>
        <w:t>” ile anayasa hükümlerinin yeni gelişmelere adapte olmasını sağlayacak şekilde yorumlanması gerektiğini ileri süren “</w:t>
      </w:r>
      <w:r w:rsidRPr="008F1D8C">
        <w:rPr>
          <w:rFonts w:ascii="Arial" w:eastAsia="Times New Roman" w:hAnsi="Arial" w:cs="Arial"/>
          <w:i/>
          <w:iCs/>
          <w:color w:val="323232"/>
          <w:sz w:val="21"/>
          <w:szCs w:val="21"/>
          <w:lang w:eastAsia="tr-TR"/>
        </w:rPr>
        <w:t>yaşayan anayasacılık</w:t>
      </w:r>
      <w:r w:rsidRPr="008F1D8C">
        <w:rPr>
          <w:rFonts w:ascii="Arial" w:eastAsia="Times New Roman" w:hAnsi="Arial" w:cs="Arial"/>
          <w:color w:val="323232"/>
          <w:sz w:val="21"/>
          <w:szCs w:val="21"/>
          <w:lang w:eastAsia="tr-TR"/>
        </w:rPr>
        <w:t xml:space="preserve">” arasında geniş bir spektrumda yorum yöntemleri bulunmaktadır. Esasen </w:t>
      </w:r>
      <w:proofErr w:type="spellStart"/>
      <w:r w:rsidRPr="008F1D8C">
        <w:rPr>
          <w:rFonts w:ascii="Arial" w:eastAsia="Times New Roman" w:hAnsi="Arial" w:cs="Arial"/>
          <w:color w:val="323232"/>
          <w:sz w:val="21"/>
          <w:szCs w:val="21"/>
          <w:lang w:eastAsia="tr-TR"/>
        </w:rPr>
        <w:t>lafzî</w:t>
      </w:r>
      <w:proofErr w:type="spellEnd"/>
      <w:r w:rsidRPr="008F1D8C">
        <w:rPr>
          <w:rFonts w:ascii="Arial" w:eastAsia="Times New Roman" w:hAnsi="Arial" w:cs="Arial"/>
          <w:color w:val="323232"/>
          <w:sz w:val="21"/>
          <w:szCs w:val="21"/>
          <w:lang w:eastAsia="tr-TR"/>
        </w:rPr>
        <w:t xml:space="preserve">, tarihsel, </w:t>
      </w:r>
      <w:proofErr w:type="spellStart"/>
      <w:r w:rsidRPr="008F1D8C">
        <w:rPr>
          <w:rFonts w:ascii="Arial" w:eastAsia="Times New Roman" w:hAnsi="Arial" w:cs="Arial"/>
          <w:color w:val="323232"/>
          <w:sz w:val="21"/>
          <w:szCs w:val="21"/>
          <w:lang w:eastAsia="tr-TR"/>
        </w:rPr>
        <w:t>amaçsal</w:t>
      </w:r>
      <w:proofErr w:type="spellEnd"/>
      <w:r w:rsidRPr="008F1D8C">
        <w:rPr>
          <w:rFonts w:ascii="Arial" w:eastAsia="Times New Roman" w:hAnsi="Arial" w:cs="Arial"/>
          <w:color w:val="323232"/>
          <w:sz w:val="21"/>
          <w:szCs w:val="21"/>
          <w:lang w:eastAsia="tr-TR"/>
        </w:rPr>
        <w:t xml:space="preserve"> veya sistematik yorum gibi yöntemler, mahkemeler tarafından çoğu kez birbirini tamamlayacak şekilde kullanılabilmektedir.</w:t>
      </w:r>
      <w:r w:rsidR="00BA5B93">
        <w:rPr>
          <w:rStyle w:val="DipnotBavurusu"/>
          <w:rFonts w:ascii="Arial" w:eastAsia="Times New Roman" w:hAnsi="Arial" w:cs="Arial"/>
          <w:color w:val="323232"/>
          <w:sz w:val="21"/>
          <w:szCs w:val="21"/>
          <w:lang w:eastAsia="tr-TR"/>
        </w:rPr>
        <w:footnoteReference w:id="4"/>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Bunu belirleyen de aslında anayasanın dilidir. Genelleme yapma pahasına denebilir ki, anayasalarda iki çeşit kural bulunmaktadır. Birincisi anlamı yoruma ihtiyaç duyulmayacak kadar açık olan kurallardır. Söz gelimi Anayasa’mızın 3. maddesi, Türkiye devletinin “</w:t>
      </w:r>
      <w:r w:rsidRPr="008F1D8C">
        <w:rPr>
          <w:rFonts w:ascii="Arial" w:eastAsia="Times New Roman" w:hAnsi="Arial" w:cs="Arial"/>
          <w:i/>
          <w:iCs/>
          <w:color w:val="323232"/>
          <w:sz w:val="21"/>
          <w:szCs w:val="21"/>
          <w:lang w:eastAsia="tr-TR"/>
        </w:rPr>
        <w:t>Bayrağı, şekli kanununda belirtilen, beyaz ay yıldızlı al bayraktır”, </w:t>
      </w:r>
      <w:r w:rsidRPr="008F1D8C">
        <w:rPr>
          <w:rFonts w:ascii="Arial" w:eastAsia="Times New Roman" w:hAnsi="Arial" w:cs="Arial"/>
          <w:color w:val="323232"/>
          <w:sz w:val="21"/>
          <w:szCs w:val="21"/>
          <w:lang w:eastAsia="tr-TR"/>
        </w:rPr>
        <w:t>67. maddesi de “</w:t>
      </w:r>
      <w:proofErr w:type="spellStart"/>
      <w:r w:rsidRPr="008F1D8C">
        <w:rPr>
          <w:rFonts w:ascii="Arial" w:eastAsia="Times New Roman" w:hAnsi="Arial" w:cs="Arial"/>
          <w:i/>
          <w:iCs/>
          <w:color w:val="323232"/>
          <w:sz w:val="21"/>
          <w:szCs w:val="21"/>
          <w:lang w:eastAsia="tr-TR"/>
        </w:rPr>
        <w:t>Onsekiz</w:t>
      </w:r>
      <w:proofErr w:type="spellEnd"/>
      <w:r w:rsidRPr="008F1D8C">
        <w:rPr>
          <w:rFonts w:ascii="Arial" w:eastAsia="Times New Roman" w:hAnsi="Arial" w:cs="Arial"/>
          <w:i/>
          <w:iCs/>
          <w:color w:val="323232"/>
          <w:sz w:val="21"/>
          <w:szCs w:val="21"/>
          <w:lang w:eastAsia="tr-TR"/>
        </w:rPr>
        <w:t xml:space="preserve"> yaşını dolduran her Türk vatandaşı seçme ve halkoylamasına katılma haklarına sahiptir</w:t>
      </w:r>
      <w:r w:rsidRPr="008F1D8C">
        <w:rPr>
          <w:rFonts w:ascii="Arial" w:eastAsia="Times New Roman" w:hAnsi="Arial" w:cs="Arial"/>
          <w:color w:val="323232"/>
          <w:sz w:val="21"/>
          <w:szCs w:val="21"/>
          <w:lang w:eastAsia="tr-TR"/>
        </w:rPr>
        <w:t>.” şeklindeki kuralları içermektedirler.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Bu tür kurallarda yoruma ihtiyaç yoktur, zira metin oldukça açıktır. </w:t>
      </w:r>
      <w:proofErr w:type="spellStart"/>
      <w:r w:rsidRPr="008F1D8C">
        <w:rPr>
          <w:rFonts w:ascii="Arial" w:eastAsia="Times New Roman" w:hAnsi="Arial" w:cs="Arial"/>
          <w:color w:val="323232"/>
          <w:sz w:val="21"/>
          <w:szCs w:val="21"/>
          <w:lang w:eastAsia="tr-TR"/>
        </w:rPr>
        <w:t>Mecelle’de</w:t>
      </w:r>
      <w:proofErr w:type="spellEnd"/>
      <w:r w:rsidRPr="008F1D8C">
        <w:rPr>
          <w:rFonts w:ascii="Arial" w:eastAsia="Times New Roman" w:hAnsi="Arial" w:cs="Arial"/>
          <w:color w:val="323232"/>
          <w:sz w:val="21"/>
          <w:szCs w:val="21"/>
          <w:lang w:eastAsia="tr-TR"/>
        </w:rPr>
        <w:t xml:space="preserve"> “</w:t>
      </w:r>
      <w:proofErr w:type="spellStart"/>
      <w:r w:rsidRPr="008F1D8C">
        <w:rPr>
          <w:rFonts w:ascii="Arial" w:eastAsia="Times New Roman" w:hAnsi="Arial" w:cs="Arial"/>
          <w:i/>
          <w:iCs/>
          <w:color w:val="323232"/>
          <w:sz w:val="21"/>
          <w:szCs w:val="21"/>
          <w:lang w:eastAsia="tr-TR"/>
        </w:rPr>
        <w:t>Mevrid</w:t>
      </w:r>
      <w:proofErr w:type="spellEnd"/>
      <w:r w:rsidRPr="008F1D8C">
        <w:rPr>
          <w:rFonts w:ascii="Arial" w:eastAsia="Times New Roman" w:hAnsi="Arial" w:cs="Arial"/>
          <w:i/>
          <w:iCs/>
          <w:color w:val="323232"/>
          <w:sz w:val="21"/>
          <w:szCs w:val="21"/>
          <w:lang w:eastAsia="tr-TR"/>
        </w:rPr>
        <w:t xml:space="preserve">-i </w:t>
      </w:r>
      <w:proofErr w:type="spellStart"/>
      <w:r w:rsidRPr="008F1D8C">
        <w:rPr>
          <w:rFonts w:ascii="Arial" w:eastAsia="Times New Roman" w:hAnsi="Arial" w:cs="Arial"/>
          <w:i/>
          <w:iCs/>
          <w:color w:val="323232"/>
          <w:sz w:val="21"/>
          <w:szCs w:val="21"/>
          <w:lang w:eastAsia="tr-TR"/>
        </w:rPr>
        <w:t>nasda</w:t>
      </w:r>
      <w:proofErr w:type="spellEnd"/>
      <w:r w:rsidRPr="008F1D8C">
        <w:rPr>
          <w:rFonts w:ascii="Arial" w:eastAsia="Times New Roman" w:hAnsi="Arial" w:cs="Arial"/>
          <w:i/>
          <w:iCs/>
          <w:color w:val="323232"/>
          <w:sz w:val="21"/>
          <w:szCs w:val="21"/>
          <w:lang w:eastAsia="tr-TR"/>
        </w:rPr>
        <w:t xml:space="preserve"> içtihada </w:t>
      </w:r>
      <w:proofErr w:type="spellStart"/>
      <w:r w:rsidRPr="008F1D8C">
        <w:rPr>
          <w:rFonts w:ascii="Arial" w:eastAsia="Times New Roman" w:hAnsi="Arial" w:cs="Arial"/>
          <w:i/>
          <w:iCs/>
          <w:color w:val="323232"/>
          <w:sz w:val="21"/>
          <w:szCs w:val="21"/>
          <w:lang w:eastAsia="tr-TR"/>
        </w:rPr>
        <w:t>mesağ</w:t>
      </w:r>
      <w:proofErr w:type="spellEnd"/>
      <w:r w:rsidRPr="008F1D8C">
        <w:rPr>
          <w:rFonts w:ascii="Arial" w:eastAsia="Times New Roman" w:hAnsi="Arial" w:cs="Arial"/>
          <w:i/>
          <w:iCs/>
          <w:color w:val="323232"/>
          <w:sz w:val="21"/>
          <w:szCs w:val="21"/>
          <w:lang w:eastAsia="tr-TR"/>
        </w:rPr>
        <w:t xml:space="preserve"> yoktur</w:t>
      </w:r>
      <w:r w:rsidRPr="008F1D8C">
        <w:rPr>
          <w:rFonts w:ascii="Arial" w:eastAsia="Times New Roman" w:hAnsi="Arial" w:cs="Arial"/>
          <w:color w:val="323232"/>
          <w:sz w:val="21"/>
          <w:szCs w:val="21"/>
          <w:lang w:eastAsia="tr-TR"/>
        </w:rPr>
        <w:t>” (m. 14) denir. Başka bir ifadeyle hüküm açık olduğunda içtihada, dolayısıyla yoruma yer yoktur. Kural açıksa yorum kapalıdır.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Buna karşılık anayasal kimliğimizin de temelini oluşturan Anayasa’nın 2. maddesinde yer alan demokrasi, laiklik ve hukuk devleti gibi kavramlar, somut olaylara uygulanırken yorumlanarak anlamlandırılması gereken anayasal ilkeleri oluşturmaktadır. Dahası bu ilkelerin gerekleri zamana ve yorumculara göre de değişebilmektedir. Nitekim Anayasa Mahkemesi uzun yıllar boyunca laikliği üniversitelerde başörtüsü takılmasına izin vermeyen katı bir ilke olarak yorumlamıştır. Ancak 2012 </w:t>
      </w:r>
      <w:r w:rsidRPr="008F1D8C">
        <w:rPr>
          <w:rFonts w:ascii="Arial" w:eastAsia="Times New Roman" w:hAnsi="Arial" w:cs="Arial"/>
          <w:color w:val="323232"/>
          <w:sz w:val="21"/>
          <w:szCs w:val="21"/>
          <w:lang w:eastAsia="tr-TR"/>
        </w:rPr>
        <w:lastRenderedPageBreak/>
        <w:t>yılından itibaren benimsenen hak eksenli yorumla birlikte, laiklik ilkesinin inancın dış görünümlerinin yasaklanmasını gerektirmediği belirtilerek bu anayasal ilke özgürlükçü bir yoruma tabi tutulmuştur.</w:t>
      </w:r>
      <w:r w:rsidR="00BA5B93">
        <w:rPr>
          <w:rStyle w:val="DipnotBavurusu"/>
          <w:rFonts w:ascii="Arial" w:eastAsia="Times New Roman" w:hAnsi="Arial" w:cs="Arial"/>
          <w:color w:val="323232"/>
          <w:sz w:val="21"/>
          <w:szCs w:val="21"/>
          <w:lang w:eastAsia="tr-TR"/>
        </w:rPr>
        <w:footnoteReference w:id="5"/>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Öte yandan, yorumu bazen bizzat yorumlanan metin sınırlayabilmektedir. Bu anlamda bazı anayasalar aynı zamanda nasıl yorumlanacaklarını ve bunun sınırlarını da belirtirler. Anayasamızın Başlangıç kısmı birçok ifadeye ve ilkeye yer verdikten sonra hazırlanan Anayasa’nın “</w:t>
      </w:r>
      <w:r w:rsidRPr="008F1D8C">
        <w:rPr>
          <w:rFonts w:ascii="Arial" w:eastAsia="Times New Roman" w:hAnsi="Arial" w:cs="Arial"/>
          <w:i/>
          <w:iCs/>
          <w:color w:val="323232"/>
          <w:sz w:val="21"/>
          <w:szCs w:val="21"/>
          <w:lang w:eastAsia="tr-TR"/>
        </w:rPr>
        <w:t>sözüne ve ruhuna bu yönde saygı ve mutlak sadakatle yorumlanıp uygulanmak üzere</w:t>
      </w:r>
      <w:r w:rsidRPr="008F1D8C">
        <w:rPr>
          <w:rFonts w:ascii="Arial" w:eastAsia="Times New Roman" w:hAnsi="Arial" w:cs="Arial"/>
          <w:color w:val="323232"/>
          <w:sz w:val="21"/>
          <w:szCs w:val="21"/>
          <w:lang w:eastAsia="tr-TR"/>
        </w:rPr>
        <w:t>” millete emanet edildiğini belirtmiştir.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Anayasa’nın 14. maddesi uyarınca da “</w:t>
      </w:r>
      <w:r w:rsidRPr="008F1D8C">
        <w:rPr>
          <w:rFonts w:ascii="Arial" w:eastAsia="Times New Roman" w:hAnsi="Arial" w:cs="Arial"/>
          <w:i/>
          <w:iCs/>
          <w:color w:val="323232"/>
          <w:sz w:val="21"/>
          <w:szCs w:val="21"/>
          <w:lang w:eastAsia="tr-TR"/>
        </w:rPr>
        <w:t>Anayasal hükümlerden hiçbiri, Devlete veya kişilere, Anayasayla tanınan temel hak ve hürriyetlerin yok edilmesini veya Anayasada belirtilenden daha geniş şekilde sınırlandırılmasını amaçlayan bir faaliyette bulunmayı mümkün kılacak şekilde yorumlanamaz</w:t>
      </w:r>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6"/>
      </w:r>
      <w:r w:rsidRPr="008F1D8C">
        <w:rPr>
          <w:rFonts w:ascii="Arial" w:eastAsia="Times New Roman" w:hAnsi="Arial" w:cs="Arial"/>
          <w:color w:val="323232"/>
          <w:sz w:val="21"/>
          <w:szCs w:val="21"/>
          <w:lang w:eastAsia="tr-TR"/>
        </w:rPr>
        <w:t> Anayasa Mahkemesi, temel hak ve hürriyetlerin ancak kanunla sınırlandırılabileceği şeklinde ifade edilen </w:t>
      </w:r>
      <w:r w:rsidRPr="008F1D8C">
        <w:rPr>
          <w:rFonts w:ascii="Arial" w:eastAsia="Times New Roman" w:hAnsi="Arial" w:cs="Arial"/>
          <w:i/>
          <w:iCs/>
          <w:color w:val="323232"/>
          <w:sz w:val="21"/>
          <w:szCs w:val="21"/>
          <w:lang w:eastAsia="tr-TR"/>
        </w:rPr>
        <w:t>kanunilik</w:t>
      </w:r>
      <w:r w:rsidRPr="008F1D8C">
        <w:rPr>
          <w:rFonts w:ascii="Arial" w:eastAsia="Times New Roman" w:hAnsi="Arial" w:cs="Arial"/>
          <w:color w:val="323232"/>
          <w:sz w:val="21"/>
          <w:szCs w:val="21"/>
          <w:lang w:eastAsia="tr-TR"/>
        </w:rPr>
        <w:t> şartının mahkeme kararlarıyla da sağlanabileceği yönündeki yaklaşımları, Anayasa’nın 14. maddesinin ikinci fıkrasında yer alan yorum yasağına aykırı olarak görmüş, bunları temel hak ve özgürlüklerin Anayasa’da belirtilenden daha geniş şekilde sınırlandıran yorumlar olarak nitelendirmiştir.</w:t>
      </w:r>
      <w:r w:rsidR="00BA5B93">
        <w:rPr>
          <w:rStyle w:val="DipnotBavurusu"/>
          <w:rFonts w:ascii="Arial" w:eastAsia="Times New Roman" w:hAnsi="Arial" w:cs="Arial"/>
          <w:color w:val="323232"/>
          <w:sz w:val="21"/>
          <w:szCs w:val="21"/>
          <w:lang w:eastAsia="tr-TR"/>
        </w:rPr>
        <w:footnoteReference w:id="7"/>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Kuşkusuz, yorumu sınırlayan anayasa hükümlerinin de yoruma ihtiyacı vardır. Dahası bilhassa Başlangıç kısmında yer alan anayasal ilkelerin soyut niteliği bunların yorumlanmasını zorunlu kılmaktadır. Söz gelimi Anayasa’nın Başlangıç kısmında yorumun sınırı, 13. maddesinde de temel hak ve özgürlüklere yönelik sınırlamaların sınırı olarak belirtilen “</w:t>
      </w:r>
      <w:r w:rsidRPr="008F1D8C">
        <w:rPr>
          <w:rFonts w:ascii="Arial" w:eastAsia="Times New Roman" w:hAnsi="Arial" w:cs="Arial"/>
          <w:i/>
          <w:iCs/>
          <w:color w:val="323232"/>
          <w:sz w:val="21"/>
          <w:szCs w:val="21"/>
          <w:lang w:eastAsia="tr-TR"/>
        </w:rPr>
        <w:t>Anayasa’nın ruhu</w:t>
      </w:r>
      <w:r w:rsidRPr="008F1D8C">
        <w:rPr>
          <w:rFonts w:ascii="Arial" w:eastAsia="Times New Roman" w:hAnsi="Arial" w:cs="Arial"/>
          <w:color w:val="323232"/>
          <w:sz w:val="21"/>
          <w:szCs w:val="21"/>
          <w:lang w:eastAsia="tr-TR"/>
        </w:rPr>
        <w:t>” nedir? Hangi yorum “</w:t>
      </w:r>
      <w:r w:rsidRPr="008F1D8C">
        <w:rPr>
          <w:rFonts w:ascii="Arial" w:eastAsia="Times New Roman" w:hAnsi="Arial" w:cs="Arial"/>
          <w:i/>
          <w:iCs/>
          <w:color w:val="323232"/>
          <w:sz w:val="21"/>
          <w:szCs w:val="21"/>
          <w:lang w:eastAsia="tr-TR"/>
        </w:rPr>
        <w:t>Anayasa’nın ruhu</w:t>
      </w:r>
      <w:r w:rsidRPr="008F1D8C">
        <w:rPr>
          <w:rFonts w:ascii="Arial" w:eastAsia="Times New Roman" w:hAnsi="Arial" w:cs="Arial"/>
          <w:color w:val="323232"/>
          <w:sz w:val="21"/>
          <w:szCs w:val="21"/>
          <w:lang w:eastAsia="tr-TR"/>
        </w:rPr>
        <w:t xml:space="preserve">” </w:t>
      </w:r>
      <w:proofErr w:type="spellStart"/>
      <w:r w:rsidRPr="008F1D8C">
        <w:rPr>
          <w:rFonts w:ascii="Arial" w:eastAsia="Times New Roman" w:hAnsi="Arial" w:cs="Arial"/>
          <w:color w:val="323232"/>
          <w:sz w:val="21"/>
          <w:szCs w:val="21"/>
          <w:lang w:eastAsia="tr-TR"/>
        </w:rPr>
        <w:t>na</w:t>
      </w:r>
      <w:proofErr w:type="spellEnd"/>
      <w:r w:rsidRPr="008F1D8C">
        <w:rPr>
          <w:rFonts w:ascii="Arial" w:eastAsia="Times New Roman" w:hAnsi="Arial" w:cs="Arial"/>
          <w:color w:val="323232"/>
          <w:sz w:val="21"/>
          <w:szCs w:val="21"/>
          <w:lang w:eastAsia="tr-TR"/>
        </w:rPr>
        <w:t xml:space="preserve"> uygun, hangisi aykırı olur?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 soruyu cevaplamak kolay değildir. Zira “</w:t>
      </w:r>
      <w:proofErr w:type="spellStart"/>
      <w:r w:rsidRPr="008F1D8C">
        <w:rPr>
          <w:rFonts w:ascii="Arial" w:eastAsia="Times New Roman" w:hAnsi="Arial" w:cs="Arial"/>
          <w:i/>
          <w:iCs/>
          <w:color w:val="323232"/>
          <w:sz w:val="21"/>
          <w:szCs w:val="21"/>
          <w:lang w:eastAsia="tr-TR"/>
        </w:rPr>
        <w:t>söz</w:t>
      </w:r>
      <w:r w:rsidRPr="008F1D8C">
        <w:rPr>
          <w:rFonts w:ascii="Arial" w:eastAsia="Times New Roman" w:hAnsi="Arial" w:cs="Arial"/>
          <w:color w:val="323232"/>
          <w:sz w:val="21"/>
          <w:szCs w:val="21"/>
          <w:lang w:eastAsia="tr-TR"/>
        </w:rPr>
        <w:t>”ün</w:t>
      </w:r>
      <w:proofErr w:type="spellEnd"/>
      <w:r w:rsidRPr="008F1D8C">
        <w:rPr>
          <w:rFonts w:ascii="Arial" w:eastAsia="Times New Roman" w:hAnsi="Arial" w:cs="Arial"/>
          <w:color w:val="323232"/>
          <w:sz w:val="21"/>
          <w:szCs w:val="21"/>
          <w:lang w:eastAsia="tr-TR"/>
        </w:rPr>
        <w:t xml:space="preserve"> aksine ruh, çerçevesi kolay belirlenebilir ve tanımlanabilir bir kavram olmaktan uzaktır. Biraz da bu nedenle Anayasa Mahkemesi ruh meselesine pek girmemiş ve “</w:t>
      </w:r>
      <w:r w:rsidRPr="008F1D8C">
        <w:rPr>
          <w:rFonts w:ascii="Arial" w:eastAsia="Times New Roman" w:hAnsi="Arial" w:cs="Arial"/>
          <w:i/>
          <w:iCs/>
          <w:color w:val="323232"/>
          <w:sz w:val="21"/>
          <w:szCs w:val="21"/>
          <w:lang w:eastAsia="tr-TR"/>
        </w:rPr>
        <w:t>Anayasa</w:t>
      </w:r>
      <w:r w:rsidRPr="008F1D8C">
        <w:rPr>
          <w:rFonts w:ascii="Arial" w:eastAsia="Times New Roman" w:hAnsi="Arial" w:cs="Arial"/>
          <w:color w:val="323232"/>
          <w:sz w:val="21"/>
          <w:szCs w:val="21"/>
          <w:lang w:eastAsia="tr-TR"/>
        </w:rPr>
        <w:t>’</w:t>
      </w:r>
      <w:r w:rsidRPr="008F1D8C">
        <w:rPr>
          <w:rFonts w:ascii="Arial" w:eastAsia="Times New Roman" w:hAnsi="Arial" w:cs="Arial"/>
          <w:i/>
          <w:iCs/>
          <w:color w:val="323232"/>
          <w:sz w:val="21"/>
          <w:szCs w:val="21"/>
          <w:lang w:eastAsia="tr-TR"/>
        </w:rPr>
        <w:t>nın ruhu</w:t>
      </w:r>
      <w:r w:rsidRPr="008F1D8C">
        <w:rPr>
          <w:rFonts w:ascii="Arial" w:eastAsia="Times New Roman" w:hAnsi="Arial" w:cs="Arial"/>
          <w:color w:val="323232"/>
          <w:sz w:val="21"/>
          <w:szCs w:val="21"/>
          <w:lang w:eastAsia="tr-TR"/>
        </w:rPr>
        <w:t>” ölçütünü çok fazla kullanmamıştır.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Bununla birlikte, Anayasa Mahkemesi bazı kararlarında “</w:t>
      </w:r>
      <w:proofErr w:type="spellStart"/>
      <w:r w:rsidRPr="008F1D8C">
        <w:rPr>
          <w:rFonts w:ascii="Arial" w:eastAsia="Times New Roman" w:hAnsi="Arial" w:cs="Arial"/>
          <w:i/>
          <w:iCs/>
          <w:color w:val="323232"/>
          <w:sz w:val="21"/>
          <w:szCs w:val="21"/>
          <w:lang w:eastAsia="tr-TR"/>
        </w:rPr>
        <w:t>ruh</w:t>
      </w:r>
      <w:r w:rsidRPr="008F1D8C">
        <w:rPr>
          <w:rFonts w:ascii="Arial" w:eastAsia="Times New Roman" w:hAnsi="Arial" w:cs="Arial"/>
          <w:color w:val="323232"/>
          <w:sz w:val="21"/>
          <w:szCs w:val="21"/>
          <w:lang w:eastAsia="tr-TR"/>
        </w:rPr>
        <w:t>”tan</w:t>
      </w:r>
      <w:proofErr w:type="spellEnd"/>
      <w:r w:rsidRPr="008F1D8C">
        <w:rPr>
          <w:rFonts w:ascii="Arial" w:eastAsia="Times New Roman" w:hAnsi="Arial" w:cs="Arial"/>
          <w:color w:val="323232"/>
          <w:sz w:val="21"/>
          <w:szCs w:val="21"/>
          <w:lang w:eastAsia="tr-TR"/>
        </w:rPr>
        <w:t xml:space="preserve"> ne anlaşılması gerektiğine dair bazı ipuçları vermiştir. Bu anlamda “</w:t>
      </w:r>
      <w:r w:rsidRPr="008F1D8C">
        <w:rPr>
          <w:rFonts w:ascii="Arial" w:eastAsia="Times New Roman" w:hAnsi="Arial" w:cs="Arial"/>
          <w:i/>
          <w:iCs/>
          <w:color w:val="323232"/>
          <w:sz w:val="21"/>
          <w:szCs w:val="21"/>
          <w:lang w:eastAsia="tr-TR"/>
        </w:rPr>
        <w:t>ruh</w:t>
      </w:r>
      <w:r w:rsidRPr="008F1D8C">
        <w:rPr>
          <w:rFonts w:ascii="Arial" w:eastAsia="Times New Roman" w:hAnsi="Arial" w:cs="Arial"/>
          <w:color w:val="323232"/>
          <w:sz w:val="21"/>
          <w:szCs w:val="21"/>
          <w:lang w:eastAsia="tr-TR"/>
        </w:rPr>
        <w:t>”, Anayasa’nın bir kısmından değil ancak tümünden çıkarılabilir. Mahkemeye göre, “</w:t>
      </w:r>
      <w:r w:rsidRPr="008F1D8C">
        <w:rPr>
          <w:rFonts w:ascii="Arial" w:eastAsia="Times New Roman" w:hAnsi="Arial" w:cs="Arial"/>
          <w:i/>
          <w:iCs/>
          <w:color w:val="323232"/>
          <w:sz w:val="21"/>
          <w:szCs w:val="21"/>
          <w:lang w:eastAsia="tr-TR"/>
        </w:rPr>
        <w:t>yasanın, Anayasa'nın ruhuna aykırı olduğu ileri sürülüyorsa, bu kez sayıları sınırlı birkaç Anayasa madde ve ilkesinin değil, Anayasa'nın tümünün yorumlanması gerekir</w:t>
      </w:r>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8"/>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lastRenderedPageBreak/>
        <w:t xml:space="preserve">Diğer yandan, ruhu anlamak için </w:t>
      </w:r>
      <w:proofErr w:type="spellStart"/>
      <w:r w:rsidRPr="008F1D8C">
        <w:rPr>
          <w:rFonts w:ascii="Arial" w:eastAsia="Times New Roman" w:hAnsi="Arial" w:cs="Arial"/>
          <w:color w:val="323232"/>
          <w:sz w:val="21"/>
          <w:szCs w:val="21"/>
          <w:lang w:eastAsia="tr-TR"/>
        </w:rPr>
        <w:t>Hegel’den</w:t>
      </w:r>
      <w:proofErr w:type="spellEnd"/>
      <w:r w:rsidRPr="008F1D8C">
        <w:rPr>
          <w:rFonts w:ascii="Arial" w:eastAsia="Times New Roman" w:hAnsi="Arial" w:cs="Arial"/>
          <w:color w:val="323232"/>
          <w:sz w:val="21"/>
          <w:szCs w:val="21"/>
          <w:lang w:eastAsia="tr-TR"/>
        </w:rPr>
        <w:t xml:space="preserve"> yardım alabiliriz. </w:t>
      </w:r>
      <w:r w:rsidRPr="008F1D8C">
        <w:rPr>
          <w:rFonts w:ascii="Arial" w:eastAsia="Times New Roman" w:hAnsi="Arial" w:cs="Arial"/>
          <w:i/>
          <w:iCs/>
          <w:color w:val="323232"/>
          <w:sz w:val="21"/>
          <w:szCs w:val="21"/>
          <w:lang w:eastAsia="tr-TR"/>
        </w:rPr>
        <w:t>Tarih Felsefesi Üzerine Dersler</w:t>
      </w:r>
      <w:r w:rsidRPr="008F1D8C">
        <w:rPr>
          <w:rFonts w:ascii="Arial" w:eastAsia="Times New Roman" w:hAnsi="Arial" w:cs="Arial"/>
          <w:color w:val="323232"/>
          <w:sz w:val="21"/>
          <w:szCs w:val="21"/>
          <w:lang w:eastAsia="tr-TR"/>
        </w:rPr>
        <w:t xml:space="preserve"> adlı eserinin başında </w:t>
      </w:r>
      <w:proofErr w:type="spellStart"/>
      <w:r w:rsidRPr="008F1D8C">
        <w:rPr>
          <w:rFonts w:ascii="Arial" w:eastAsia="Times New Roman" w:hAnsi="Arial" w:cs="Arial"/>
          <w:color w:val="323232"/>
          <w:sz w:val="21"/>
          <w:szCs w:val="21"/>
          <w:lang w:eastAsia="tr-TR"/>
        </w:rPr>
        <w:t>Hegel</w:t>
      </w:r>
      <w:proofErr w:type="spellEnd"/>
      <w:r w:rsidRPr="008F1D8C">
        <w:rPr>
          <w:rFonts w:ascii="Arial" w:eastAsia="Times New Roman" w:hAnsi="Arial" w:cs="Arial"/>
          <w:color w:val="323232"/>
          <w:sz w:val="21"/>
          <w:szCs w:val="21"/>
          <w:lang w:eastAsia="tr-TR"/>
        </w:rPr>
        <w:t xml:space="preserve">, ruhun doğasının doğrudan zıddına yani maddeye bakılarak anlaşılabileceğini söyler. </w:t>
      </w:r>
      <w:proofErr w:type="spellStart"/>
      <w:r w:rsidRPr="008F1D8C">
        <w:rPr>
          <w:rFonts w:ascii="Arial" w:eastAsia="Times New Roman" w:hAnsi="Arial" w:cs="Arial"/>
          <w:color w:val="323232"/>
          <w:sz w:val="21"/>
          <w:szCs w:val="21"/>
          <w:lang w:eastAsia="tr-TR"/>
        </w:rPr>
        <w:t>Hegel</w:t>
      </w:r>
      <w:proofErr w:type="spellEnd"/>
      <w:r w:rsidRPr="008F1D8C">
        <w:rPr>
          <w:rFonts w:ascii="Arial" w:eastAsia="Times New Roman" w:hAnsi="Arial" w:cs="Arial"/>
          <w:color w:val="323232"/>
          <w:sz w:val="21"/>
          <w:szCs w:val="21"/>
          <w:lang w:eastAsia="tr-TR"/>
        </w:rPr>
        <w:t xml:space="preserve"> maddenin özünün yer çekimi, ruhun özünün de özgürlük olduğunu belirtir. </w:t>
      </w:r>
      <w:proofErr w:type="spellStart"/>
      <w:r w:rsidRPr="008F1D8C">
        <w:rPr>
          <w:rFonts w:ascii="Arial" w:eastAsia="Times New Roman" w:hAnsi="Arial" w:cs="Arial"/>
          <w:color w:val="323232"/>
          <w:sz w:val="21"/>
          <w:szCs w:val="21"/>
          <w:lang w:eastAsia="tr-TR"/>
        </w:rPr>
        <w:t>Hegel’e</w:t>
      </w:r>
      <w:proofErr w:type="spellEnd"/>
      <w:r w:rsidRPr="008F1D8C">
        <w:rPr>
          <w:rFonts w:ascii="Arial" w:eastAsia="Times New Roman" w:hAnsi="Arial" w:cs="Arial"/>
          <w:color w:val="323232"/>
          <w:sz w:val="21"/>
          <w:szCs w:val="21"/>
          <w:lang w:eastAsia="tr-TR"/>
        </w:rPr>
        <w:t xml:space="preserve"> göre “</w:t>
      </w:r>
      <w:r w:rsidRPr="008F1D8C">
        <w:rPr>
          <w:rFonts w:ascii="Arial" w:eastAsia="Times New Roman" w:hAnsi="Arial" w:cs="Arial"/>
          <w:i/>
          <w:iCs/>
          <w:color w:val="323232"/>
          <w:sz w:val="21"/>
          <w:szCs w:val="21"/>
          <w:lang w:eastAsia="tr-TR"/>
        </w:rPr>
        <w:t>özgürlük ruhun yegâne hakikatidir”</w:t>
      </w:r>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9"/>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proofErr w:type="spellStart"/>
      <w:r w:rsidRPr="008F1D8C">
        <w:rPr>
          <w:rFonts w:ascii="Arial" w:eastAsia="Times New Roman" w:hAnsi="Arial" w:cs="Arial"/>
          <w:color w:val="323232"/>
          <w:sz w:val="21"/>
          <w:szCs w:val="21"/>
          <w:lang w:eastAsia="tr-TR"/>
        </w:rPr>
        <w:t>Hegel’in</w:t>
      </w:r>
      <w:proofErr w:type="spellEnd"/>
      <w:r w:rsidRPr="008F1D8C">
        <w:rPr>
          <w:rFonts w:ascii="Arial" w:eastAsia="Times New Roman" w:hAnsi="Arial" w:cs="Arial"/>
          <w:color w:val="323232"/>
          <w:sz w:val="21"/>
          <w:szCs w:val="21"/>
          <w:lang w:eastAsia="tr-TR"/>
        </w:rPr>
        <w:t xml:space="preserve"> madde-ruh zıtlığını anayasal dile çevirirsek “</w:t>
      </w:r>
      <w:r w:rsidRPr="008F1D8C">
        <w:rPr>
          <w:rFonts w:ascii="Arial" w:eastAsia="Times New Roman" w:hAnsi="Arial" w:cs="Arial"/>
          <w:i/>
          <w:iCs/>
          <w:color w:val="323232"/>
          <w:sz w:val="21"/>
          <w:szCs w:val="21"/>
          <w:lang w:eastAsia="tr-TR"/>
        </w:rPr>
        <w:t>anayasanın ruhunun</w:t>
      </w:r>
      <w:r w:rsidRPr="008F1D8C">
        <w:rPr>
          <w:rFonts w:ascii="Arial" w:eastAsia="Times New Roman" w:hAnsi="Arial" w:cs="Arial"/>
          <w:color w:val="323232"/>
          <w:sz w:val="21"/>
          <w:szCs w:val="21"/>
          <w:lang w:eastAsia="tr-TR"/>
        </w:rPr>
        <w:t> </w:t>
      </w:r>
      <w:r w:rsidRPr="008F1D8C">
        <w:rPr>
          <w:rFonts w:ascii="Arial" w:eastAsia="Times New Roman" w:hAnsi="Arial" w:cs="Arial"/>
          <w:i/>
          <w:iCs/>
          <w:color w:val="323232"/>
          <w:sz w:val="21"/>
          <w:szCs w:val="21"/>
          <w:lang w:eastAsia="tr-TR"/>
        </w:rPr>
        <w:t>özü özgürlüktür</w:t>
      </w:r>
      <w:r w:rsidRPr="008F1D8C">
        <w:rPr>
          <w:rFonts w:ascii="Arial" w:eastAsia="Times New Roman" w:hAnsi="Arial" w:cs="Arial"/>
          <w:color w:val="323232"/>
          <w:sz w:val="21"/>
          <w:szCs w:val="21"/>
          <w:lang w:eastAsia="tr-TR"/>
        </w:rPr>
        <w:t>” diyebiliriz. Başka bir ifadeyle özgürlük anayasanın ruhunun yegâne hakikatidir. Tam da bu nedenle Anayasa Mahkemesi, birçok kararında anayasal hükümlerin </w:t>
      </w:r>
      <w:r w:rsidRPr="008F1D8C">
        <w:rPr>
          <w:rFonts w:ascii="Arial" w:eastAsia="Times New Roman" w:hAnsi="Arial" w:cs="Arial"/>
          <w:i/>
          <w:iCs/>
          <w:color w:val="323232"/>
          <w:sz w:val="21"/>
          <w:szCs w:val="21"/>
          <w:lang w:eastAsia="tr-TR"/>
        </w:rPr>
        <w:t>özgürlükler lehine </w:t>
      </w:r>
      <w:r w:rsidRPr="008F1D8C">
        <w:rPr>
          <w:rFonts w:ascii="Arial" w:eastAsia="Times New Roman" w:hAnsi="Arial" w:cs="Arial"/>
          <w:color w:val="323232"/>
          <w:sz w:val="21"/>
          <w:szCs w:val="21"/>
          <w:lang w:eastAsia="tr-TR"/>
        </w:rPr>
        <w:t>yorumlanması gerektiğini vurgulamıştır.</w:t>
      </w:r>
      <w:r w:rsidR="00BA5B93">
        <w:rPr>
          <w:rStyle w:val="DipnotBavurusu"/>
          <w:rFonts w:ascii="Arial" w:eastAsia="Times New Roman" w:hAnsi="Arial" w:cs="Arial"/>
          <w:color w:val="323232"/>
          <w:sz w:val="21"/>
          <w:szCs w:val="21"/>
          <w:lang w:eastAsia="tr-TR"/>
        </w:rPr>
        <w:footnoteReference w:id="10"/>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b/>
          <w:bCs/>
          <w:i/>
          <w:iCs/>
          <w:color w:val="323232"/>
          <w:sz w:val="21"/>
          <w:szCs w:val="21"/>
          <w:lang w:eastAsia="tr-TR"/>
        </w:rPr>
        <w:t>3. Anayasa Mahkemesinin Hak Eksenli Yorum Paradigması</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 noktada üçüncü konumuz olan Anayasa Mahkemesinin benimsediği yorum paradigmasına geçebiliriz.</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yargıçları kanunun ve en temel kanun olan anayasanın ne anlama geldiğini belirlerken iç ve dış dünyalarında oluşan/oluşturdukları bir vasatta bunu yaparlar. Bu kapsamda anayasal yorumun iç içe geçen üç dairede gerçekleştiğini söylemek yanlış olmaz.</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Merkezdeki ilk dairede bulunan yorumcunun kişisel dünyası, görüş ve düşünceleri anayasal yorumda belirleyici bir rol oynamaktadır. Başka bir ifadeyle genelde yargıçlar özelde anayasa yargıçları bir anlamda formatlanmış yorumcular olarak anayasaya ve diğer normlara anlam verirler. Tam da bu nedenle </w:t>
      </w:r>
      <w:proofErr w:type="spellStart"/>
      <w:r w:rsidRPr="008F1D8C">
        <w:rPr>
          <w:rFonts w:ascii="Arial" w:eastAsia="Times New Roman" w:hAnsi="Arial" w:cs="Arial"/>
          <w:color w:val="323232"/>
          <w:sz w:val="21"/>
          <w:szCs w:val="21"/>
          <w:lang w:eastAsia="tr-TR"/>
        </w:rPr>
        <w:t>Heidegger</w:t>
      </w:r>
      <w:proofErr w:type="spellEnd"/>
      <w:r w:rsidRPr="008F1D8C">
        <w:rPr>
          <w:rFonts w:ascii="Arial" w:eastAsia="Times New Roman" w:hAnsi="Arial" w:cs="Arial"/>
          <w:color w:val="323232"/>
          <w:sz w:val="21"/>
          <w:szCs w:val="21"/>
          <w:lang w:eastAsia="tr-TR"/>
        </w:rPr>
        <w:t>, herhangi bir şey yorumlandığında yorumun esas olarak önceden sahip olduklarımız, önceden oluşturulan bakış açılarımız ve anlayışlarımız üzerine inşa edileceğini söyler.</w:t>
      </w:r>
      <w:r w:rsidR="00BA5B93">
        <w:rPr>
          <w:rStyle w:val="DipnotBavurusu"/>
          <w:rFonts w:ascii="Arial" w:eastAsia="Times New Roman" w:hAnsi="Arial" w:cs="Arial"/>
          <w:color w:val="323232"/>
          <w:sz w:val="21"/>
          <w:szCs w:val="21"/>
          <w:lang w:eastAsia="tr-TR"/>
        </w:rPr>
        <w:footnoteReference w:id="11"/>
      </w:r>
      <w:r w:rsidRPr="008F1D8C">
        <w:rPr>
          <w:rFonts w:ascii="Arial" w:eastAsia="Times New Roman" w:hAnsi="Arial" w:cs="Arial"/>
          <w:color w:val="323232"/>
          <w:sz w:val="21"/>
          <w:szCs w:val="21"/>
          <w:lang w:eastAsia="tr-TR"/>
        </w:rPr>
        <w:t> Bu nedenle yorum, aynı zamanda yorumcunun kimliğini ve bunu oluşturan unsurların etkisini yansıtır.</w:t>
      </w:r>
      <w:r w:rsidR="00BA5B93">
        <w:rPr>
          <w:rStyle w:val="DipnotBavurusu"/>
          <w:rFonts w:ascii="Arial" w:eastAsia="Times New Roman" w:hAnsi="Arial" w:cs="Arial"/>
          <w:color w:val="323232"/>
          <w:sz w:val="21"/>
          <w:szCs w:val="21"/>
          <w:lang w:eastAsia="tr-TR"/>
        </w:rPr>
        <w:footnoteReference w:id="12"/>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Anayasal yorumu belirleyen ikinci büyük daire yorumcuların içinde bulundukları topluluğa hâkim olan paradigmadır. Paradigma “</w:t>
      </w:r>
      <w:r w:rsidRPr="008F1D8C">
        <w:rPr>
          <w:rFonts w:ascii="Arial" w:eastAsia="Times New Roman" w:hAnsi="Arial" w:cs="Arial"/>
          <w:i/>
          <w:iCs/>
          <w:color w:val="323232"/>
          <w:sz w:val="21"/>
          <w:szCs w:val="21"/>
          <w:lang w:eastAsia="tr-TR"/>
        </w:rPr>
        <w:t>belli bir topluluğun üyelerinin paylaştığı inançlar, değerler ve yöntemler gibi hususların oluşturduğu bir takımyıldızı</w:t>
      </w:r>
      <w:r w:rsidRPr="008F1D8C">
        <w:rPr>
          <w:rFonts w:ascii="Arial" w:eastAsia="Times New Roman" w:hAnsi="Arial" w:cs="Arial"/>
          <w:color w:val="323232"/>
          <w:sz w:val="21"/>
          <w:szCs w:val="21"/>
          <w:lang w:eastAsia="tr-TR"/>
        </w:rPr>
        <w:t>” olarak tanımlanmaktadır.</w:t>
      </w:r>
      <w:r w:rsidR="00BA5B93">
        <w:rPr>
          <w:rStyle w:val="DipnotBavurusu"/>
          <w:rFonts w:ascii="Arial" w:eastAsia="Times New Roman" w:hAnsi="Arial" w:cs="Arial"/>
          <w:color w:val="323232"/>
          <w:sz w:val="21"/>
          <w:szCs w:val="21"/>
          <w:lang w:eastAsia="tr-TR"/>
        </w:rPr>
        <w:footnoteReference w:id="13"/>
      </w:r>
      <w:r w:rsidRPr="008F1D8C">
        <w:rPr>
          <w:rFonts w:ascii="Arial" w:eastAsia="Times New Roman" w:hAnsi="Arial" w:cs="Arial"/>
          <w:color w:val="323232"/>
          <w:sz w:val="21"/>
          <w:szCs w:val="21"/>
          <w:lang w:eastAsia="tr-TR"/>
        </w:rPr>
        <w:t> Bu anlamda, hukuksal paradigma bir yorumcu topluluğu olan anayasa mahkemelerinin yorumunu etkilemekte, anayasal kuralların anlamlandırılmasında belirleyici olabilmektedir.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lastRenderedPageBreak/>
        <w:t>Belirtmek gerekir ki yorumlanan metinlerin, anayasaların değişmesi ve yorumun zeminini oluşturan yeni anayasal kurumların oluşturulması yorum paradigmalarının değişiminde belirleyici olabilmektedir. Bu bağlamda ülkemizde 2010 anayasa değişikliğiyle kabul edilen bireysel başvuru hak eksenli hukuksal paradigmanın benimsenmesinde kuşkusuz etkili olmuştur.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Mahkemesinin benimsediği hak eksenli paradigma, “</w:t>
      </w:r>
      <w:r w:rsidRPr="008F1D8C">
        <w:rPr>
          <w:rFonts w:ascii="Arial" w:eastAsia="Times New Roman" w:hAnsi="Arial" w:cs="Arial"/>
          <w:i/>
          <w:iCs/>
          <w:color w:val="323232"/>
          <w:sz w:val="21"/>
          <w:szCs w:val="21"/>
          <w:lang w:eastAsia="tr-TR"/>
        </w:rPr>
        <w:t>hak</w:t>
      </w:r>
      <w:r w:rsidRPr="008F1D8C">
        <w:rPr>
          <w:rFonts w:ascii="Arial" w:eastAsia="Times New Roman" w:hAnsi="Arial" w:cs="Arial"/>
          <w:color w:val="323232"/>
          <w:sz w:val="21"/>
          <w:szCs w:val="21"/>
          <w:lang w:eastAsia="tr-TR"/>
        </w:rPr>
        <w:t>” kelimesinin birbiriyle bağlantılı iki anlamına yaslanmaktadır. “</w:t>
      </w:r>
      <w:r w:rsidRPr="008F1D8C">
        <w:rPr>
          <w:rFonts w:ascii="Arial" w:eastAsia="Times New Roman" w:hAnsi="Arial" w:cs="Arial"/>
          <w:i/>
          <w:iCs/>
          <w:color w:val="323232"/>
          <w:sz w:val="21"/>
          <w:szCs w:val="21"/>
          <w:lang w:eastAsia="tr-TR"/>
        </w:rPr>
        <w:t>Hak</w:t>
      </w:r>
      <w:r w:rsidRPr="008F1D8C">
        <w:rPr>
          <w:rFonts w:ascii="Arial" w:eastAsia="Times New Roman" w:hAnsi="Arial" w:cs="Arial"/>
          <w:color w:val="323232"/>
          <w:sz w:val="21"/>
          <w:szCs w:val="21"/>
          <w:lang w:eastAsia="tr-TR"/>
        </w:rPr>
        <w:t>” bir yandan “</w:t>
      </w:r>
      <w:r w:rsidRPr="008F1D8C">
        <w:rPr>
          <w:rFonts w:ascii="Arial" w:eastAsia="Times New Roman" w:hAnsi="Arial" w:cs="Arial"/>
          <w:i/>
          <w:iCs/>
          <w:color w:val="323232"/>
          <w:sz w:val="21"/>
          <w:szCs w:val="21"/>
          <w:lang w:eastAsia="tr-TR"/>
        </w:rPr>
        <w:t>hakkaniyet olarak</w:t>
      </w:r>
      <w:r w:rsidRPr="008F1D8C">
        <w:rPr>
          <w:rFonts w:ascii="Arial" w:eastAsia="Times New Roman" w:hAnsi="Arial" w:cs="Arial"/>
          <w:color w:val="323232"/>
          <w:sz w:val="21"/>
          <w:szCs w:val="21"/>
          <w:lang w:eastAsia="tr-TR"/>
        </w:rPr>
        <w:t> </w:t>
      </w:r>
      <w:r w:rsidRPr="008F1D8C">
        <w:rPr>
          <w:rFonts w:ascii="Arial" w:eastAsia="Times New Roman" w:hAnsi="Arial" w:cs="Arial"/>
          <w:i/>
          <w:iCs/>
          <w:color w:val="323232"/>
          <w:sz w:val="21"/>
          <w:szCs w:val="21"/>
          <w:lang w:eastAsia="tr-TR"/>
        </w:rPr>
        <w:t>adalet</w:t>
      </w:r>
      <w:r w:rsidRPr="008F1D8C">
        <w:rPr>
          <w:rFonts w:ascii="Arial" w:eastAsia="Times New Roman" w:hAnsi="Arial" w:cs="Arial"/>
          <w:color w:val="323232"/>
          <w:sz w:val="21"/>
          <w:szCs w:val="21"/>
          <w:lang w:eastAsia="tr-TR"/>
        </w:rPr>
        <w:t>”, diğer yandan da yaşam hakkı veya mülkiyet hakkında olduğu gibi “</w:t>
      </w:r>
      <w:r w:rsidRPr="008F1D8C">
        <w:rPr>
          <w:rFonts w:ascii="Arial" w:eastAsia="Times New Roman" w:hAnsi="Arial" w:cs="Arial"/>
          <w:i/>
          <w:iCs/>
          <w:color w:val="323232"/>
          <w:sz w:val="21"/>
          <w:szCs w:val="21"/>
          <w:lang w:eastAsia="tr-TR"/>
        </w:rPr>
        <w:t>sahip olunan şey</w:t>
      </w:r>
      <w:r w:rsidRPr="008F1D8C">
        <w:rPr>
          <w:rFonts w:ascii="Arial" w:eastAsia="Times New Roman" w:hAnsi="Arial" w:cs="Arial"/>
          <w:color w:val="323232"/>
          <w:sz w:val="21"/>
          <w:szCs w:val="21"/>
          <w:lang w:eastAsia="tr-TR"/>
        </w:rPr>
        <w:t>” anlamına gelmektedir. Bu anlamda, anayasal yorumun içinde gerçekleştiği hak eksenli paradigma, anayasal adaleti sağlayarak temel hak ve özgürlükleri korumayı amaçlayan, başka bir ifadeyle her iki anlamıyla “</w:t>
      </w:r>
      <w:proofErr w:type="spellStart"/>
      <w:r w:rsidRPr="008F1D8C">
        <w:rPr>
          <w:rFonts w:ascii="Arial" w:eastAsia="Times New Roman" w:hAnsi="Arial" w:cs="Arial"/>
          <w:i/>
          <w:iCs/>
          <w:color w:val="323232"/>
          <w:sz w:val="21"/>
          <w:szCs w:val="21"/>
          <w:lang w:eastAsia="tr-TR"/>
        </w:rPr>
        <w:t>hak</w:t>
      </w:r>
      <w:r w:rsidRPr="008F1D8C">
        <w:rPr>
          <w:rFonts w:ascii="Arial" w:eastAsia="Times New Roman" w:hAnsi="Arial" w:cs="Arial"/>
          <w:color w:val="323232"/>
          <w:sz w:val="21"/>
          <w:szCs w:val="21"/>
          <w:lang w:eastAsia="tr-TR"/>
        </w:rPr>
        <w:t>”kı</w:t>
      </w:r>
      <w:proofErr w:type="spellEnd"/>
      <w:r w:rsidRPr="008F1D8C">
        <w:rPr>
          <w:rFonts w:ascii="Arial" w:eastAsia="Times New Roman" w:hAnsi="Arial" w:cs="Arial"/>
          <w:color w:val="323232"/>
          <w:sz w:val="21"/>
          <w:szCs w:val="21"/>
          <w:lang w:eastAsia="tr-TR"/>
        </w:rPr>
        <w:t xml:space="preserve"> tespit ve teslim etmeye çalışan bir paradigmadır. Bu paradigmanın ruh kökünde Mevlana’nın </w:t>
      </w:r>
      <w:r w:rsidRPr="008F1D8C">
        <w:rPr>
          <w:rFonts w:ascii="Arial" w:eastAsia="Times New Roman" w:hAnsi="Arial" w:cs="Arial"/>
          <w:i/>
          <w:iCs/>
          <w:color w:val="323232"/>
          <w:sz w:val="21"/>
          <w:szCs w:val="21"/>
          <w:lang w:eastAsia="tr-TR"/>
        </w:rPr>
        <w:t xml:space="preserve">her şeyi yerli yerine koyma ve herkese </w:t>
      </w:r>
      <w:proofErr w:type="spellStart"/>
      <w:r w:rsidRPr="008F1D8C">
        <w:rPr>
          <w:rFonts w:ascii="Arial" w:eastAsia="Times New Roman" w:hAnsi="Arial" w:cs="Arial"/>
          <w:i/>
          <w:iCs/>
          <w:color w:val="323232"/>
          <w:sz w:val="21"/>
          <w:szCs w:val="21"/>
          <w:lang w:eastAsia="tr-TR"/>
        </w:rPr>
        <w:t>hakettiğini</w:t>
      </w:r>
      <w:proofErr w:type="spellEnd"/>
      <w:r w:rsidRPr="008F1D8C">
        <w:rPr>
          <w:rFonts w:ascii="Arial" w:eastAsia="Times New Roman" w:hAnsi="Arial" w:cs="Arial"/>
          <w:i/>
          <w:iCs/>
          <w:color w:val="323232"/>
          <w:sz w:val="21"/>
          <w:szCs w:val="21"/>
          <w:lang w:eastAsia="tr-TR"/>
        </w:rPr>
        <w:t xml:space="preserve"> verme</w:t>
      </w:r>
      <w:r w:rsidRPr="008F1D8C">
        <w:rPr>
          <w:rFonts w:ascii="Arial" w:eastAsia="Times New Roman" w:hAnsi="Arial" w:cs="Arial"/>
          <w:color w:val="323232"/>
          <w:sz w:val="21"/>
          <w:szCs w:val="21"/>
          <w:lang w:eastAsia="tr-TR"/>
        </w:rPr>
        <w:t> olarak formüle ettiği adalet anlayışı vardır.</w:t>
      </w:r>
      <w:r w:rsidR="00BA5B93">
        <w:rPr>
          <w:rStyle w:val="DipnotBavurusu"/>
          <w:rFonts w:ascii="Arial" w:eastAsia="Times New Roman" w:hAnsi="Arial" w:cs="Arial"/>
          <w:color w:val="323232"/>
          <w:sz w:val="21"/>
          <w:szCs w:val="21"/>
          <w:lang w:eastAsia="tr-TR"/>
        </w:rPr>
        <w:footnoteReference w:id="14"/>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 hâliyle hak eksenli paradigma, temel hak ve özgürlüklerin korunmasına diğer toplumsal ve siyasal faydalar karşısında öncelik tanıyan, hak ve özgürlüğü esas, sınırlamayı istisna olarak kabul eden, anayasal hükümlerin son tahlilde temel hak ve özgürlükler lehine yorumlanmasını gerektiren bir yaklaşımı ifade etmektedir.</w:t>
      </w:r>
      <w:r w:rsidR="00BA5B93">
        <w:rPr>
          <w:rStyle w:val="DipnotBavurusu"/>
          <w:rFonts w:ascii="Arial" w:eastAsia="Times New Roman" w:hAnsi="Arial" w:cs="Arial"/>
          <w:color w:val="323232"/>
          <w:sz w:val="21"/>
          <w:szCs w:val="21"/>
          <w:lang w:eastAsia="tr-TR"/>
        </w:rPr>
        <w:footnoteReference w:id="15"/>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Mahkemesi birçok kararında anayasa yargısına hâkim olması gereken yaklaşımın hak eksenli paradigma olduğunu belirtmiştir. Mahkemeye göre anayasa hükümleri “</w:t>
      </w:r>
      <w:r w:rsidRPr="008F1D8C">
        <w:rPr>
          <w:rFonts w:ascii="Arial" w:eastAsia="Times New Roman" w:hAnsi="Arial" w:cs="Arial"/>
          <w:i/>
          <w:iCs/>
          <w:color w:val="323232"/>
          <w:sz w:val="21"/>
          <w:szCs w:val="21"/>
          <w:lang w:eastAsia="tr-TR"/>
        </w:rPr>
        <w:t>hak eksenli yorumlandıkları takdirde işlevlerini tam olarak yerine getirebilir.</w:t>
      </w:r>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16"/>
      </w:r>
      <w:r w:rsidRPr="008F1D8C">
        <w:rPr>
          <w:rFonts w:ascii="Arial" w:eastAsia="Times New Roman" w:hAnsi="Arial" w:cs="Arial"/>
          <w:color w:val="323232"/>
          <w:sz w:val="21"/>
          <w:szCs w:val="21"/>
          <w:lang w:eastAsia="tr-TR"/>
        </w:rPr>
        <w:t> Bu sebeple kamu gücü kullananların “</w:t>
      </w:r>
      <w:r w:rsidRPr="008F1D8C">
        <w:rPr>
          <w:rFonts w:ascii="Arial" w:eastAsia="Times New Roman" w:hAnsi="Arial" w:cs="Arial"/>
          <w:i/>
          <w:iCs/>
          <w:color w:val="323232"/>
          <w:sz w:val="21"/>
          <w:szCs w:val="21"/>
          <w:lang w:eastAsia="tr-TR"/>
        </w:rPr>
        <w:t>anayasal hükümleri özgürlükler lehine yorumlamaları</w:t>
      </w:r>
      <w:r w:rsidRPr="008F1D8C">
        <w:rPr>
          <w:rFonts w:ascii="Arial" w:eastAsia="Times New Roman" w:hAnsi="Arial" w:cs="Arial"/>
          <w:color w:val="323232"/>
          <w:sz w:val="21"/>
          <w:szCs w:val="21"/>
          <w:lang w:eastAsia="tr-TR"/>
        </w:rPr>
        <w:t>” mümkün ve gereklidir.</w:t>
      </w:r>
      <w:r w:rsidR="00BA5B93">
        <w:rPr>
          <w:rStyle w:val="DipnotBavurusu"/>
          <w:rFonts w:ascii="Arial" w:eastAsia="Times New Roman" w:hAnsi="Arial" w:cs="Arial"/>
          <w:color w:val="323232"/>
          <w:sz w:val="21"/>
          <w:szCs w:val="21"/>
          <w:lang w:eastAsia="tr-TR"/>
        </w:rPr>
        <w:footnoteReference w:id="17"/>
      </w:r>
      <w:r w:rsidRPr="008F1D8C">
        <w:rPr>
          <w:rFonts w:ascii="Arial" w:eastAsia="Times New Roman" w:hAnsi="Arial" w:cs="Arial"/>
          <w:color w:val="323232"/>
          <w:sz w:val="21"/>
          <w:szCs w:val="21"/>
          <w:lang w:eastAsia="tr-TR"/>
        </w:rPr>
        <w:t> Anayasa Mahkemesi, bilhassa seçme ve seçilme hakları gibi siyasi haklar söz konusu olduğunda ilgili anayasa hükümlerini “</w:t>
      </w:r>
      <w:r w:rsidRPr="008F1D8C">
        <w:rPr>
          <w:rFonts w:ascii="Arial" w:eastAsia="Times New Roman" w:hAnsi="Arial" w:cs="Arial"/>
          <w:i/>
          <w:iCs/>
          <w:color w:val="323232"/>
          <w:sz w:val="21"/>
          <w:szCs w:val="21"/>
          <w:lang w:eastAsia="tr-TR"/>
        </w:rPr>
        <w:t>demokrasinin korunması bağlamında sis</w:t>
      </w:r>
      <w:r w:rsidR="00BA5B93">
        <w:rPr>
          <w:rFonts w:ascii="Arial" w:eastAsia="Times New Roman" w:hAnsi="Arial" w:cs="Arial"/>
          <w:i/>
          <w:iCs/>
          <w:color w:val="323232"/>
          <w:sz w:val="21"/>
          <w:szCs w:val="21"/>
          <w:lang w:eastAsia="tr-TR"/>
        </w:rPr>
        <w:t>te</w:t>
      </w:r>
      <w:r w:rsidRPr="008F1D8C">
        <w:rPr>
          <w:rFonts w:ascii="Arial" w:eastAsia="Times New Roman" w:hAnsi="Arial" w:cs="Arial"/>
          <w:i/>
          <w:iCs/>
          <w:color w:val="323232"/>
          <w:sz w:val="21"/>
          <w:szCs w:val="21"/>
          <w:lang w:eastAsia="tr-TR"/>
        </w:rPr>
        <w:t xml:space="preserve">matik ve hak eksenli bir yoruma tabi </w:t>
      </w:r>
      <w:proofErr w:type="spellStart"/>
      <w:r w:rsidRPr="008F1D8C">
        <w:rPr>
          <w:rFonts w:ascii="Arial" w:eastAsia="Times New Roman" w:hAnsi="Arial" w:cs="Arial"/>
          <w:i/>
          <w:iCs/>
          <w:color w:val="323232"/>
          <w:sz w:val="21"/>
          <w:szCs w:val="21"/>
          <w:lang w:eastAsia="tr-TR"/>
        </w:rPr>
        <w:t>tutmuş</w:t>
      </w:r>
      <w:r w:rsidRPr="008F1D8C">
        <w:rPr>
          <w:rFonts w:ascii="Arial" w:eastAsia="Times New Roman" w:hAnsi="Arial" w:cs="Arial"/>
          <w:color w:val="323232"/>
          <w:sz w:val="21"/>
          <w:szCs w:val="21"/>
          <w:lang w:eastAsia="tr-TR"/>
        </w:rPr>
        <w:t>”tur</w:t>
      </w:r>
      <w:proofErr w:type="spellEnd"/>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18"/>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yargısında benimsenen hak eksenli paradigmanın iki pratik yansımasının öne çıktığı söylenebilir. Birincisi, hak eksenli yorum gerek bireysel başvuruda gerekse norm denetiminde anayasal hak ve özgürlüklerin koruma alanını genişletici ve koruyucu bir sonucu beraberinde getirmiştir.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lastRenderedPageBreak/>
        <w:t>Anayasa Mahkemesi, söz gelimi, hak arama hürriyetini güvenceye alan Anayasa’nın 36. maddesini hükmün denetlenmesini talep etme hakkını da kapsayacak şekilde yorumlamıştır.</w:t>
      </w:r>
      <w:r w:rsidR="00BA5B93">
        <w:rPr>
          <w:rStyle w:val="DipnotBavurusu"/>
          <w:rFonts w:ascii="Arial" w:eastAsia="Times New Roman" w:hAnsi="Arial" w:cs="Arial"/>
          <w:color w:val="323232"/>
          <w:sz w:val="21"/>
          <w:szCs w:val="21"/>
          <w:lang w:eastAsia="tr-TR"/>
        </w:rPr>
        <w:footnoteReference w:id="19"/>
      </w:r>
      <w:r w:rsidRPr="008F1D8C">
        <w:rPr>
          <w:rFonts w:ascii="Arial" w:eastAsia="Times New Roman" w:hAnsi="Arial" w:cs="Arial"/>
          <w:color w:val="323232"/>
          <w:sz w:val="21"/>
          <w:szCs w:val="21"/>
          <w:lang w:eastAsia="tr-TR"/>
        </w:rPr>
        <w:t> Aynı şekilde Anayasa’nın 38. maddesinde açık bir düzenleme bulunmamasına rağmen -uluslararası hukuka ve diğer anayasal ilkelere atıf yapılmak suretiyle- lehe ceza kuralının geçmişe uygulanması ilkesinin anılan anayasa hükmüne mündemiç olduğuna karar verilmiştir.</w:t>
      </w:r>
      <w:r w:rsidR="00BA5B93">
        <w:rPr>
          <w:rStyle w:val="DipnotBavurusu"/>
          <w:rFonts w:ascii="Arial" w:eastAsia="Times New Roman" w:hAnsi="Arial" w:cs="Arial"/>
          <w:color w:val="323232"/>
          <w:sz w:val="21"/>
          <w:szCs w:val="21"/>
          <w:lang w:eastAsia="tr-TR"/>
        </w:rPr>
        <w:footnoteReference w:id="20"/>
      </w:r>
      <w:r w:rsidRPr="008F1D8C">
        <w:rPr>
          <w:rFonts w:ascii="Arial" w:eastAsia="Times New Roman" w:hAnsi="Arial" w:cs="Arial"/>
          <w:color w:val="323232"/>
          <w:sz w:val="21"/>
          <w:szCs w:val="21"/>
          <w:lang w:eastAsia="tr-TR"/>
        </w:rPr>
        <w:t xml:space="preserve"> Dahası Mahkememiz, tarihsel, sistematik ve </w:t>
      </w:r>
      <w:proofErr w:type="spellStart"/>
      <w:r w:rsidRPr="008F1D8C">
        <w:rPr>
          <w:rFonts w:ascii="Arial" w:eastAsia="Times New Roman" w:hAnsi="Arial" w:cs="Arial"/>
          <w:color w:val="323232"/>
          <w:sz w:val="21"/>
          <w:szCs w:val="21"/>
          <w:lang w:eastAsia="tr-TR"/>
        </w:rPr>
        <w:t>amaçsal</w:t>
      </w:r>
      <w:proofErr w:type="spellEnd"/>
      <w:r w:rsidRPr="008F1D8C">
        <w:rPr>
          <w:rFonts w:ascii="Arial" w:eastAsia="Times New Roman" w:hAnsi="Arial" w:cs="Arial"/>
          <w:color w:val="323232"/>
          <w:sz w:val="21"/>
          <w:szCs w:val="21"/>
          <w:lang w:eastAsia="tr-TR"/>
        </w:rPr>
        <w:t xml:space="preserve"> yorum yöntemlerini kullanarak Anayasa’nın kamu hizmetine girme hakkını düzenleyen 70. maddesinin </w:t>
      </w:r>
      <w:r w:rsidRPr="008F1D8C">
        <w:rPr>
          <w:rFonts w:ascii="Arial" w:eastAsia="Times New Roman" w:hAnsi="Arial" w:cs="Arial"/>
          <w:i/>
          <w:iCs/>
          <w:color w:val="323232"/>
          <w:sz w:val="21"/>
          <w:szCs w:val="21"/>
          <w:lang w:eastAsia="tr-TR"/>
        </w:rPr>
        <w:t>kamu hizmetinde bulunmayı</w:t>
      </w:r>
      <w:r w:rsidRPr="008F1D8C">
        <w:rPr>
          <w:rFonts w:ascii="Arial" w:eastAsia="Times New Roman" w:hAnsi="Arial" w:cs="Arial"/>
          <w:color w:val="323232"/>
          <w:sz w:val="21"/>
          <w:szCs w:val="21"/>
          <w:lang w:eastAsia="tr-TR"/>
        </w:rPr>
        <w:t> da kapsadığına hükmetmiştir.</w:t>
      </w:r>
      <w:r w:rsidR="00BA5B93">
        <w:rPr>
          <w:rStyle w:val="DipnotBavurusu"/>
          <w:rFonts w:ascii="Arial" w:eastAsia="Times New Roman" w:hAnsi="Arial" w:cs="Arial"/>
          <w:color w:val="323232"/>
          <w:sz w:val="21"/>
          <w:szCs w:val="21"/>
          <w:lang w:eastAsia="tr-TR"/>
        </w:rPr>
        <w:footnoteReference w:id="21"/>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Hak eksenli paradigmanın ikinci pratik yansıması “</w:t>
      </w:r>
      <w:r w:rsidRPr="008F1D8C">
        <w:rPr>
          <w:rFonts w:ascii="Arial" w:eastAsia="Times New Roman" w:hAnsi="Arial" w:cs="Arial"/>
          <w:i/>
          <w:iCs/>
          <w:color w:val="323232"/>
          <w:sz w:val="21"/>
          <w:szCs w:val="21"/>
          <w:lang w:eastAsia="tr-TR"/>
        </w:rPr>
        <w:t>hukukun anayasallaşması</w:t>
      </w:r>
      <w:r w:rsidRPr="008F1D8C">
        <w:rPr>
          <w:rFonts w:ascii="Arial" w:eastAsia="Times New Roman" w:hAnsi="Arial" w:cs="Arial"/>
          <w:color w:val="323232"/>
          <w:sz w:val="21"/>
          <w:szCs w:val="21"/>
          <w:lang w:eastAsia="tr-TR"/>
        </w:rPr>
        <w:t>” olarak bilinen sürece yaptığı katkıda ortaya çıkmaktadır. Anayasa Mahkemesi bir kararında, bir yandan derece mahkemelerinin kanunların anlam ve kapsamını belirlerken Anayasa’yı dikkate almaları gerektiğini, diğer yandan da Anayasa’nın yaşayan bir belge olduğunu vurgulamıştır. Anayasa Mahkemesine göre “</w:t>
      </w:r>
      <w:r w:rsidRPr="008F1D8C">
        <w:rPr>
          <w:rFonts w:ascii="Arial" w:eastAsia="Times New Roman" w:hAnsi="Arial" w:cs="Arial"/>
          <w:i/>
          <w:iCs/>
          <w:color w:val="323232"/>
          <w:sz w:val="21"/>
          <w:szCs w:val="21"/>
          <w:lang w:eastAsia="tr-TR"/>
        </w:rPr>
        <w:t>Anayasa kâğıt üzerinde kalan bir metin değil yaşayan, hukuk sistemini yönlendiren, her türlü kamusal tasarrufta gözetilmesi gereken hukuki bir belge</w:t>
      </w:r>
      <w:r w:rsidRPr="008F1D8C">
        <w:rPr>
          <w:rFonts w:ascii="Arial" w:eastAsia="Times New Roman" w:hAnsi="Arial" w:cs="Arial"/>
          <w:color w:val="323232"/>
          <w:sz w:val="21"/>
          <w:szCs w:val="21"/>
          <w:lang w:eastAsia="tr-TR"/>
        </w:rPr>
        <w:t>dir”.</w:t>
      </w:r>
      <w:r w:rsidR="00BA5B93">
        <w:rPr>
          <w:rStyle w:val="DipnotBavurusu"/>
          <w:rFonts w:ascii="Arial" w:eastAsia="Times New Roman" w:hAnsi="Arial" w:cs="Arial"/>
          <w:color w:val="323232"/>
          <w:sz w:val="21"/>
          <w:szCs w:val="21"/>
          <w:lang w:eastAsia="tr-TR"/>
        </w:rPr>
        <w:footnoteReference w:id="22"/>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Son olarak belirtmek gerekir ki, hak eksenli yaklaşım anayasal hükümlerin hukukun üstünlüğü ilkesi ışığında yorumlanmasını gerektirmektedir. Anayasa Mahkemesi, hukuk devletinin</w:t>
      </w:r>
      <w:r w:rsidRPr="008F1D8C">
        <w:rPr>
          <w:rFonts w:ascii="Arial" w:eastAsia="Times New Roman" w:hAnsi="Arial" w:cs="Arial"/>
          <w:i/>
          <w:iCs/>
          <w:color w:val="323232"/>
          <w:sz w:val="21"/>
          <w:szCs w:val="21"/>
          <w:lang w:eastAsia="tr-TR"/>
        </w:rPr>
        <w:t> “Anayasa'nın tüm maddelerinin yorumlanması ve uygulanmasında göz önünde bulundurulması zorunlu olan bir ilke</w:t>
      </w:r>
      <w:r w:rsidRPr="008F1D8C">
        <w:rPr>
          <w:rFonts w:ascii="Arial" w:eastAsia="Times New Roman" w:hAnsi="Arial" w:cs="Arial"/>
          <w:color w:val="323232"/>
          <w:sz w:val="21"/>
          <w:szCs w:val="21"/>
          <w:lang w:eastAsia="tr-TR"/>
        </w:rPr>
        <w:t>” olduğunu belirtmiştir.</w:t>
      </w:r>
      <w:r w:rsidR="00BA5B93">
        <w:rPr>
          <w:rStyle w:val="DipnotBavurusu"/>
          <w:rFonts w:ascii="Arial" w:eastAsia="Times New Roman" w:hAnsi="Arial" w:cs="Arial"/>
          <w:color w:val="323232"/>
          <w:sz w:val="21"/>
          <w:szCs w:val="21"/>
          <w:lang w:eastAsia="tr-TR"/>
        </w:rPr>
        <w:footnoteReference w:id="23"/>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b/>
          <w:bCs/>
          <w:i/>
          <w:iCs/>
          <w:color w:val="323232"/>
          <w:sz w:val="21"/>
          <w:szCs w:val="21"/>
          <w:lang w:eastAsia="tr-TR"/>
        </w:rPr>
        <w:t>4. Anayasal Yorumun İki Şartı</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Anayasa Mahkemesinin gerek norm denetiminde gerekse bireysel başvuruda Anayasa’yı yorumlarken hukuk devlet ilkesine merkezi bir yer vermesi, yorumun içinde gerçekleştiği üçüncü ve en geniş daire olan makro düzeyde içinde bulunduğunuz toplumsal ve siyasal durum bakımından hayati derecede önemlidir. Esasen sağlam bir anayasal yorum inşasının ve mimarisinin şartlarından biri genelde hukukun özel olarak da anayasanın üstünlüğü ilkesinin kabul edildiği ve gereklerinin yerine getirildiği bir hukuksal/siyasal vasatın bulunmasıdır.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Hukukun üstünlüğü ilkesini hukuki </w:t>
      </w:r>
      <w:proofErr w:type="spellStart"/>
      <w:r w:rsidRPr="008F1D8C">
        <w:rPr>
          <w:rFonts w:ascii="Arial" w:eastAsia="Times New Roman" w:hAnsi="Arial" w:cs="Arial"/>
          <w:color w:val="323232"/>
          <w:sz w:val="21"/>
          <w:szCs w:val="21"/>
          <w:lang w:eastAsia="tr-TR"/>
        </w:rPr>
        <w:t>hermenotiğin</w:t>
      </w:r>
      <w:proofErr w:type="spellEnd"/>
      <w:r w:rsidRPr="008F1D8C">
        <w:rPr>
          <w:rFonts w:ascii="Arial" w:eastAsia="Times New Roman" w:hAnsi="Arial" w:cs="Arial"/>
          <w:color w:val="323232"/>
          <w:sz w:val="21"/>
          <w:szCs w:val="21"/>
          <w:lang w:eastAsia="tr-TR"/>
        </w:rPr>
        <w:t xml:space="preserve"> esaslı bir şartı olarak niteleyen </w:t>
      </w:r>
      <w:proofErr w:type="spellStart"/>
      <w:r w:rsidRPr="008F1D8C">
        <w:rPr>
          <w:rFonts w:ascii="Arial" w:eastAsia="Times New Roman" w:hAnsi="Arial" w:cs="Arial"/>
          <w:color w:val="323232"/>
          <w:sz w:val="21"/>
          <w:szCs w:val="21"/>
          <w:lang w:eastAsia="tr-TR"/>
        </w:rPr>
        <w:t>Gadamer’e</w:t>
      </w:r>
      <w:proofErr w:type="spellEnd"/>
      <w:r w:rsidRPr="008F1D8C">
        <w:rPr>
          <w:rFonts w:ascii="Arial" w:eastAsia="Times New Roman" w:hAnsi="Arial" w:cs="Arial"/>
          <w:color w:val="323232"/>
          <w:sz w:val="21"/>
          <w:szCs w:val="21"/>
          <w:lang w:eastAsia="tr-TR"/>
        </w:rPr>
        <w:t xml:space="preserve"> göre otoriter yönetimlerde yorumdan bahsedilemez, zira burada kendisini hukukla bağlı görmeyen mutlak irade yorumun temel kurallarını da geçersiz kılabilecektir.</w:t>
      </w:r>
      <w:r w:rsidR="00BA5B93">
        <w:rPr>
          <w:rStyle w:val="DipnotBavurusu"/>
          <w:rFonts w:ascii="Arial" w:eastAsia="Times New Roman" w:hAnsi="Arial" w:cs="Arial"/>
          <w:color w:val="323232"/>
          <w:sz w:val="21"/>
          <w:szCs w:val="21"/>
          <w:lang w:eastAsia="tr-TR"/>
        </w:rPr>
        <w:footnoteReference w:id="24"/>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proofErr w:type="spellStart"/>
      <w:r w:rsidRPr="008F1D8C">
        <w:rPr>
          <w:rFonts w:ascii="Arial" w:eastAsia="Times New Roman" w:hAnsi="Arial" w:cs="Arial"/>
          <w:color w:val="323232"/>
          <w:sz w:val="21"/>
          <w:szCs w:val="21"/>
          <w:lang w:eastAsia="tr-TR"/>
        </w:rPr>
        <w:lastRenderedPageBreak/>
        <w:t>Gadamer’in</w:t>
      </w:r>
      <w:proofErr w:type="spellEnd"/>
      <w:r w:rsidRPr="008F1D8C">
        <w:rPr>
          <w:rFonts w:ascii="Arial" w:eastAsia="Times New Roman" w:hAnsi="Arial" w:cs="Arial"/>
          <w:color w:val="323232"/>
          <w:sz w:val="21"/>
          <w:szCs w:val="21"/>
          <w:lang w:eastAsia="tr-TR"/>
        </w:rPr>
        <w:t xml:space="preserve"> söylemek istediğini Tolstoy </w:t>
      </w:r>
      <w:r w:rsidRPr="008F1D8C">
        <w:rPr>
          <w:rFonts w:ascii="Arial" w:eastAsia="Times New Roman" w:hAnsi="Arial" w:cs="Arial"/>
          <w:i/>
          <w:iCs/>
          <w:color w:val="323232"/>
          <w:sz w:val="21"/>
          <w:szCs w:val="21"/>
          <w:lang w:eastAsia="tr-TR"/>
        </w:rPr>
        <w:t>Hacı Murat</w:t>
      </w:r>
      <w:r w:rsidRPr="008F1D8C">
        <w:rPr>
          <w:rFonts w:ascii="Arial" w:eastAsia="Times New Roman" w:hAnsi="Arial" w:cs="Arial"/>
          <w:color w:val="323232"/>
          <w:sz w:val="21"/>
          <w:szCs w:val="21"/>
          <w:lang w:eastAsia="tr-TR"/>
        </w:rPr>
        <w:t xml:space="preserve"> adlı romanında çok güzel anlatır. Polonyalı bir tıp öğrencisi girdiği sınavdan üçüncü kez başarısız olunca hocasını çakıyla hafifçe yaralar. Polonyalılardan nefret eden Çar </w:t>
      </w:r>
      <w:proofErr w:type="spellStart"/>
      <w:r w:rsidRPr="008F1D8C">
        <w:rPr>
          <w:rFonts w:ascii="Arial" w:eastAsia="Times New Roman" w:hAnsi="Arial" w:cs="Arial"/>
          <w:color w:val="323232"/>
          <w:sz w:val="21"/>
          <w:szCs w:val="21"/>
          <w:lang w:eastAsia="tr-TR"/>
        </w:rPr>
        <w:t>Nikolay</w:t>
      </w:r>
      <w:proofErr w:type="spellEnd"/>
      <w:r w:rsidRPr="008F1D8C">
        <w:rPr>
          <w:rFonts w:ascii="Arial" w:eastAsia="Times New Roman" w:hAnsi="Arial" w:cs="Arial"/>
          <w:color w:val="323232"/>
          <w:sz w:val="21"/>
          <w:szCs w:val="21"/>
          <w:lang w:eastAsia="tr-TR"/>
        </w:rPr>
        <w:t xml:space="preserve"> eline iyi bir fırsat geçtiğini düşünür. Öğrenciyle ilgili raporun altına hükmünü yazar ve imzasını atar: “</w:t>
      </w:r>
      <w:r w:rsidRPr="008F1D8C">
        <w:rPr>
          <w:rFonts w:ascii="Arial" w:eastAsia="Times New Roman" w:hAnsi="Arial" w:cs="Arial"/>
          <w:i/>
          <w:iCs/>
          <w:color w:val="323232"/>
          <w:sz w:val="21"/>
          <w:szCs w:val="21"/>
          <w:lang w:eastAsia="tr-TR"/>
        </w:rPr>
        <w:t xml:space="preserve">Ölümü hak etmiştir, lakin Tanrı’ya şükür bizde idam cezası yok. Ben de bu cezayı yeniden getirecek değilim. Kendisi bin kişinin sıra dayağından on iki kez </w:t>
      </w:r>
      <w:proofErr w:type="gramStart"/>
      <w:r w:rsidRPr="008F1D8C">
        <w:rPr>
          <w:rFonts w:ascii="Arial" w:eastAsia="Times New Roman" w:hAnsi="Arial" w:cs="Arial"/>
          <w:i/>
          <w:iCs/>
          <w:color w:val="323232"/>
          <w:sz w:val="21"/>
          <w:szCs w:val="21"/>
          <w:lang w:eastAsia="tr-TR"/>
        </w:rPr>
        <w:t>geçirilsin.—</w:t>
      </w:r>
      <w:proofErr w:type="spellStart"/>
      <w:proofErr w:type="gramEnd"/>
      <w:r w:rsidRPr="008F1D8C">
        <w:rPr>
          <w:rFonts w:ascii="Arial" w:eastAsia="Times New Roman" w:hAnsi="Arial" w:cs="Arial"/>
          <w:i/>
          <w:iCs/>
          <w:color w:val="323232"/>
          <w:sz w:val="21"/>
          <w:szCs w:val="21"/>
          <w:lang w:eastAsia="tr-TR"/>
        </w:rPr>
        <w:t>Nikolay</w:t>
      </w:r>
      <w:proofErr w:type="spellEnd"/>
      <w:r w:rsidRPr="008F1D8C">
        <w:rPr>
          <w:rFonts w:ascii="Arial" w:eastAsia="Times New Roman" w:hAnsi="Arial" w:cs="Arial"/>
          <w:color w:val="323232"/>
          <w:sz w:val="21"/>
          <w:szCs w:val="21"/>
          <w:lang w:eastAsia="tr-TR"/>
        </w:rPr>
        <w:t>”</w:t>
      </w:r>
      <w:r w:rsidR="00BA5B93">
        <w:rPr>
          <w:rStyle w:val="DipnotBavurusu"/>
          <w:rFonts w:ascii="Arial" w:eastAsia="Times New Roman" w:hAnsi="Arial" w:cs="Arial"/>
          <w:color w:val="323232"/>
          <w:sz w:val="21"/>
          <w:szCs w:val="21"/>
          <w:lang w:eastAsia="tr-TR"/>
        </w:rPr>
        <w:footnoteReference w:id="25"/>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Tolstoy diyor ki, Çar on iki bin vuruşun vahşice bir ölüm anlamına geldiğini biliyordu zira beş bin vuruş bile en kuvvetli kişiyi öldürmek için yeterliydi. Çar, son kertede ülkesinde idam cezası olmamasına rağmen kendisini mutlu eden bir karar vermişti.</w:t>
      </w:r>
      <w:r w:rsidR="00BA5B93">
        <w:rPr>
          <w:rStyle w:val="DipnotBavurusu"/>
          <w:rFonts w:ascii="Arial" w:eastAsia="Times New Roman" w:hAnsi="Arial" w:cs="Arial"/>
          <w:color w:val="323232"/>
          <w:sz w:val="21"/>
          <w:szCs w:val="21"/>
          <w:lang w:eastAsia="tr-TR"/>
        </w:rPr>
        <w:footnoteReference w:id="26"/>
      </w:r>
      <w:r w:rsidRPr="008F1D8C">
        <w:rPr>
          <w:rFonts w:ascii="Arial" w:eastAsia="Times New Roman" w:hAnsi="Arial" w:cs="Arial"/>
          <w:color w:val="323232"/>
          <w:sz w:val="21"/>
          <w:szCs w:val="21"/>
          <w:lang w:eastAsia="tr-TR"/>
        </w:rPr>
        <w:t> Bu anekdot, hukukla sınırlanamayan mutlak irade tarafından yorumun genel ilkelerinin geçersiz kılınabildiğini anlatan tipik bir örnektir.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Diğer yandan, anayasal yorumda belirleyicilik ve bağlayıcılık unsuru anlamlı bir yorum inşasının ve mimarisinin diğer şartını oluşturmaktadır. Bilindiği üzere yargısal süreçte yorum kararda tecessüm eder. Anayasa yargısında da anayasal kuralların yorumu karara dönüştüğünde artık belirleyici ve bağlayıcı hâle gelir.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Kararda esas alınan yorumun isabetli olmadığı söylenebilir, ancak kararın bağlayıcılığı konusunda tereddüt olamaz. Zira Anayasa Mahkemesi kararlarının bağlayıcılığını açıkça belirten özel maddelerden önce, Anayasa’nın bağlayıcılığı ve üstünlüğü ilkesini güvenceye alan hükümleri bu bağlayıcılığı açıkça ifade etmektedir.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Elbette, kanun koyucu da idari ve yargısal merciler de görevleri kapsamında anayasal hükümleri yorumlamaktadırlar. Ancak, bu yorumlar sonucunda ihdas edilen normlar ve kamu gücü işlemleri anayasal denetime tabi olduğunda Anayasanın nihai ve bağlayıcı olarak yorumlanması yetkisi Anayasa Mahkemesine aittir.</w:t>
      </w:r>
      <w:r w:rsidR="00BA5B93">
        <w:rPr>
          <w:rStyle w:val="DipnotBavurusu"/>
          <w:rFonts w:ascii="Arial" w:eastAsia="Times New Roman" w:hAnsi="Arial" w:cs="Arial"/>
          <w:color w:val="323232"/>
          <w:sz w:val="21"/>
          <w:szCs w:val="21"/>
          <w:lang w:eastAsia="tr-TR"/>
        </w:rPr>
        <w:footnoteReference w:id="27"/>
      </w:r>
      <w:r w:rsidR="00BA5B93" w:rsidRPr="008F1D8C">
        <w:rPr>
          <w:rFonts w:ascii="Arial" w:eastAsia="Times New Roman" w:hAnsi="Arial" w:cs="Arial"/>
          <w:color w:val="323232"/>
          <w:sz w:val="21"/>
          <w:szCs w:val="21"/>
          <w:lang w:eastAsia="tr-TR"/>
        </w:rPr>
        <w:t xml:space="preserve">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Aksi takdirde herkesin ve her kurumun kendi yorumunun “</w:t>
      </w:r>
      <w:r w:rsidRPr="008F1D8C">
        <w:rPr>
          <w:rFonts w:ascii="Arial" w:eastAsia="Times New Roman" w:hAnsi="Arial" w:cs="Arial"/>
          <w:i/>
          <w:iCs/>
          <w:color w:val="323232"/>
          <w:sz w:val="21"/>
          <w:szCs w:val="21"/>
          <w:lang w:eastAsia="tr-TR"/>
        </w:rPr>
        <w:t>geçerli</w:t>
      </w:r>
      <w:r w:rsidRPr="008F1D8C">
        <w:rPr>
          <w:rFonts w:ascii="Arial" w:eastAsia="Times New Roman" w:hAnsi="Arial" w:cs="Arial"/>
          <w:color w:val="323232"/>
          <w:sz w:val="21"/>
          <w:szCs w:val="21"/>
          <w:lang w:eastAsia="tr-TR"/>
        </w:rPr>
        <w:t>” olduğunu ileri sürdüğü bir durum ortaya çıkacaktır. Hukuk devleti yorum çeşitliliğini kabul eder, ancak yorum anaforuna izin vermez.</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b/>
          <w:bCs/>
          <w:color w:val="323232"/>
          <w:sz w:val="21"/>
          <w:szCs w:val="21"/>
          <w:lang w:eastAsia="tr-TR"/>
        </w:rPr>
        <w:t>Sonuç yerine</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Günümüzde anayasa yargısı alanındaki belki de en önemli sınama, </w:t>
      </w:r>
      <w:proofErr w:type="spellStart"/>
      <w:r w:rsidRPr="008F1D8C">
        <w:rPr>
          <w:rFonts w:ascii="Arial" w:eastAsia="Times New Roman" w:hAnsi="Arial" w:cs="Arial"/>
          <w:color w:val="323232"/>
          <w:sz w:val="21"/>
          <w:szCs w:val="21"/>
          <w:lang w:eastAsia="tr-TR"/>
        </w:rPr>
        <w:t>otoriterleşme</w:t>
      </w:r>
      <w:proofErr w:type="spellEnd"/>
      <w:r w:rsidRPr="008F1D8C">
        <w:rPr>
          <w:rFonts w:ascii="Arial" w:eastAsia="Times New Roman" w:hAnsi="Arial" w:cs="Arial"/>
          <w:color w:val="323232"/>
          <w:sz w:val="21"/>
          <w:szCs w:val="21"/>
          <w:lang w:eastAsia="tr-TR"/>
        </w:rPr>
        <w:t xml:space="preserve"> yönündeki küresel ve yerel ters dalgalar karşısında hak eksenli yorumun korunması ve sürdürülmesidir. </w:t>
      </w:r>
      <w:r w:rsidRPr="008F1D8C">
        <w:rPr>
          <w:rFonts w:ascii="Arial" w:eastAsia="Times New Roman" w:hAnsi="Arial" w:cs="Arial"/>
          <w:color w:val="323232"/>
          <w:sz w:val="21"/>
          <w:szCs w:val="21"/>
          <w:lang w:eastAsia="tr-TR"/>
        </w:rPr>
        <w:lastRenderedPageBreak/>
        <w:t>Sanırım ülkemizde de anayasal yorumun geleceğini bu ters dalgalar karşısında yorumcu topluluklarının hak eksenli yaklaşımı sürdürme iradesi belirleyecektir.</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Bu duygu ve düşüncelerle hepinizi bir kez daha saygıyla selamlıyor, organizasyonda emeği geçen herkese teşekkür ediyorum.</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xml:space="preserve">Konferansa sunumlarıyla, yorumlarıyla ve katılımlarıyla katkı yapacak olan tüm </w:t>
      </w:r>
      <w:proofErr w:type="gramStart"/>
      <w:r w:rsidRPr="008F1D8C">
        <w:rPr>
          <w:rFonts w:ascii="Arial" w:eastAsia="Times New Roman" w:hAnsi="Arial" w:cs="Arial"/>
          <w:color w:val="323232"/>
          <w:sz w:val="21"/>
          <w:szCs w:val="21"/>
          <w:lang w:eastAsia="tr-TR"/>
        </w:rPr>
        <w:t>katılımcılara  bir</w:t>
      </w:r>
      <w:proofErr w:type="gramEnd"/>
      <w:r w:rsidRPr="008F1D8C">
        <w:rPr>
          <w:rFonts w:ascii="Arial" w:eastAsia="Times New Roman" w:hAnsi="Arial" w:cs="Arial"/>
          <w:color w:val="323232"/>
          <w:sz w:val="21"/>
          <w:szCs w:val="21"/>
          <w:lang w:eastAsia="tr-TR"/>
        </w:rPr>
        <w:t xml:space="preserve"> kez daha teşekkür ediyor, 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F1D8C" w:rsidRPr="008F1D8C" w:rsidTr="008F1D8C">
        <w:trPr>
          <w:trHeight w:val="225"/>
          <w:jc w:val="right"/>
        </w:trPr>
        <w:tc>
          <w:tcPr>
            <w:tcW w:w="0" w:type="auto"/>
            <w:vAlign w:val="center"/>
            <w:hideMark/>
          </w:tcPr>
          <w:p w:rsidR="008F1D8C" w:rsidRPr="008F1D8C" w:rsidRDefault="008F1D8C" w:rsidP="008F1D8C">
            <w:pPr>
              <w:spacing w:after="0" w:line="240" w:lineRule="auto"/>
              <w:jc w:val="center"/>
              <w:rPr>
                <w:rFonts w:ascii="Times New Roman" w:eastAsia="Times New Roman" w:hAnsi="Times New Roman" w:cs="Times New Roman"/>
                <w:color w:val="424242"/>
                <w:sz w:val="24"/>
                <w:szCs w:val="24"/>
                <w:lang w:eastAsia="tr-TR"/>
              </w:rPr>
            </w:pPr>
            <w:r w:rsidRPr="008F1D8C">
              <w:rPr>
                <w:rFonts w:ascii="Times New Roman" w:eastAsia="Times New Roman" w:hAnsi="Times New Roman" w:cs="Times New Roman"/>
                <w:b/>
                <w:bCs/>
                <w:color w:val="424242"/>
                <w:sz w:val="24"/>
                <w:szCs w:val="24"/>
                <w:lang w:eastAsia="tr-TR"/>
              </w:rPr>
              <w:t>Zühtü ARSLAN</w:t>
            </w:r>
          </w:p>
        </w:tc>
      </w:tr>
      <w:tr w:rsidR="008F1D8C" w:rsidRPr="008F1D8C" w:rsidTr="008F1D8C">
        <w:trPr>
          <w:trHeight w:val="225"/>
          <w:jc w:val="right"/>
        </w:trPr>
        <w:tc>
          <w:tcPr>
            <w:tcW w:w="0" w:type="auto"/>
            <w:vAlign w:val="center"/>
            <w:hideMark/>
          </w:tcPr>
          <w:p w:rsidR="008F1D8C" w:rsidRPr="008F1D8C" w:rsidRDefault="008F1D8C" w:rsidP="008F1D8C">
            <w:pPr>
              <w:spacing w:after="0" w:line="240" w:lineRule="auto"/>
              <w:jc w:val="center"/>
              <w:rPr>
                <w:rFonts w:ascii="Times New Roman" w:eastAsia="Times New Roman" w:hAnsi="Times New Roman" w:cs="Times New Roman"/>
                <w:color w:val="424242"/>
                <w:sz w:val="24"/>
                <w:szCs w:val="24"/>
                <w:lang w:eastAsia="tr-TR"/>
              </w:rPr>
            </w:pPr>
            <w:r w:rsidRPr="008F1D8C">
              <w:rPr>
                <w:rFonts w:ascii="Times New Roman" w:eastAsia="Times New Roman" w:hAnsi="Times New Roman" w:cs="Times New Roman"/>
                <w:b/>
                <w:bCs/>
                <w:color w:val="424242"/>
                <w:sz w:val="24"/>
                <w:szCs w:val="24"/>
                <w:lang w:eastAsia="tr-TR"/>
              </w:rPr>
              <w:t>Anayasa Mahkemesi Başkanı</w:t>
            </w:r>
          </w:p>
        </w:tc>
      </w:tr>
    </w:tbl>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w:t>
      </w:r>
    </w:p>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t> </w:t>
      </w:r>
    </w:p>
    <w:p w:rsidR="008F1D8C" w:rsidRPr="008F1D8C" w:rsidRDefault="00ED3204" w:rsidP="008F1D8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1"/>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fldChar w:fldCharType="begin"/>
      </w:r>
      <w:r w:rsidRPr="008F1D8C">
        <w:rPr>
          <w:rFonts w:ascii="Arial" w:eastAsia="Times New Roman" w:hAnsi="Arial" w:cs="Arial"/>
          <w:color w:val="323232"/>
          <w:sz w:val="21"/>
          <w:szCs w:val="21"/>
          <w:lang w:eastAsia="tr-TR"/>
        </w:rPr>
        <w:instrText xml:space="preserve"> HYPERLINK "https://www.anayasa.gov.tr/tr/baskan/konusmalar/anayasal-yorumun-dinamikleri-ve-anayasa-mahkemesi/" \l "_ftnref1" </w:instrText>
      </w:r>
      <w:r w:rsidRPr="008F1D8C">
        <w:rPr>
          <w:rFonts w:ascii="Arial" w:eastAsia="Times New Roman" w:hAnsi="Arial" w:cs="Arial"/>
          <w:color w:val="323232"/>
          <w:sz w:val="21"/>
          <w:szCs w:val="21"/>
          <w:lang w:eastAsia="tr-TR"/>
        </w:rPr>
        <w:fldChar w:fldCharType="separate"/>
      </w:r>
      <w:r w:rsidRPr="008F1D8C">
        <w:rPr>
          <w:rFonts w:ascii="Arial" w:eastAsia="Times New Roman" w:hAnsi="Arial" w:cs="Arial"/>
          <w:color w:val="323232"/>
          <w:sz w:val="21"/>
          <w:szCs w:val="21"/>
          <w:lang w:eastAsia="tr-TR"/>
        </w:rPr>
        <w:t>*</w:t>
      </w:r>
      <w:r w:rsidRPr="008F1D8C">
        <w:rPr>
          <w:rFonts w:ascii="Arial" w:eastAsia="Times New Roman" w:hAnsi="Arial" w:cs="Arial"/>
          <w:color w:val="323232"/>
          <w:sz w:val="21"/>
          <w:szCs w:val="21"/>
          <w:lang w:eastAsia="tr-TR"/>
        </w:rPr>
        <w:fldChar w:fldCharType="end"/>
      </w:r>
      <w:bookmarkEnd w:id="3"/>
      <w:r w:rsidRPr="008F1D8C">
        <w:rPr>
          <w:rFonts w:ascii="Arial" w:eastAsia="Times New Roman" w:hAnsi="Arial" w:cs="Arial"/>
          <w:color w:val="323232"/>
          <w:sz w:val="21"/>
          <w:szCs w:val="21"/>
          <w:lang w:eastAsia="tr-TR"/>
        </w:rPr>
        <w:t>Anayasa Mahkemesi Anayasa Yargısı Araştırma Merkezi ile Koç Üniversitesi Hukuk Fakültesi tarafından düzenlenen “</w:t>
      </w:r>
      <w:r w:rsidRPr="008F1D8C">
        <w:rPr>
          <w:rFonts w:ascii="Arial" w:eastAsia="Times New Roman" w:hAnsi="Arial" w:cs="Arial"/>
          <w:i/>
          <w:iCs/>
          <w:color w:val="323232"/>
          <w:sz w:val="21"/>
          <w:szCs w:val="21"/>
          <w:lang w:eastAsia="tr-TR"/>
        </w:rPr>
        <w:t>Anayasal Yorumun Geleceği</w:t>
      </w:r>
      <w:r w:rsidRPr="008F1D8C">
        <w:rPr>
          <w:rFonts w:ascii="Arial" w:eastAsia="Times New Roman" w:hAnsi="Arial" w:cs="Arial"/>
          <w:color w:val="323232"/>
          <w:sz w:val="21"/>
          <w:szCs w:val="21"/>
          <w:lang w:eastAsia="tr-TR"/>
        </w:rPr>
        <w:t>” konulu Konferansın Açış Konuşması. İstanbul, 26.2.2024.</w:t>
      </w:r>
    </w:p>
    <w:bookmarkStart w:id="4" w:name="_ftn2"/>
    <w:p w:rsidR="008F1D8C" w:rsidRPr="008F1D8C" w:rsidRDefault="008F1D8C" w:rsidP="008F1D8C">
      <w:pPr>
        <w:spacing w:after="100" w:afterAutospacing="1" w:line="375" w:lineRule="atLeast"/>
        <w:jc w:val="both"/>
        <w:rPr>
          <w:rFonts w:ascii="Arial" w:eastAsia="Times New Roman" w:hAnsi="Arial" w:cs="Arial"/>
          <w:color w:val="323232"/>
          <w:sz w:val="21"/>
          <w:szCs w:val="21"/>
          <w:lang w:eastAsia="tr-TR"/>
        </w:rPr>
      </w:pPr>
      <w:r w:rsidRPr="008F1D8C">
        <w:rPr>
          <w:rFonts w:ascii="Arial" w:eastAsia="Times New Roman" w:hAnsi="Arial" w:cs="Arial"/>
          <w:color w:val="323232"/>
          <w:sz w:val="21"/>
          <w:szCs w:val="21"/>
          <w:lang w:eastAsia="tr-TR"/>
        </w:rPr>
        <w:fldChar w:fldCharType="begin"/>
      </w:r>
      <w:r w:rsidRPr="008F1D8C">
        <w:rPr>
          <w:rFonts w:ascii="Arial" w:eastAsia="Times New Roman" w:hAnsi="Arial" w:cs="Arial"/>
          <w:color w:val="323232"/>
          <w:sz w:val="21"/>
          <w:szCs w:val="21"/>
          <w:lang w:eastAsia="tr-TR"/>
        </w:rPr>
        <w:instrText xml:space="preserve"> HYPERLINK "https://www.anayasa.gov.tr/tr/baskan/konusmalar/anayasal-yorumun-dinamikleri-ve-anayasa-mahkemesi/" \l "_ftnref2" </w:instrText>
      </w:r>
      <w:r w:rsidRPr="008F1D8C">
        <w:rPr>
          <w:rFonts w:ascii="Arial" w:eastAsia="Times New Roman" w:hAnsi="Arial" w:cs="Arial"/>
          <w:color w:val="323232"/>
          <w:sz w:val="21"/>
          <w:szCs w:val="21"/>
          <w:lang w:eastAsia="tr-TR"/>
        </w:rPr>
        <w:fldChar w:fldCharType="separate"/>
      </w:r>
      <w:r w:rsidRPr="008F1D8C">
        <w:rPr>
          <w:rFonts w:ascii="Arial" w:eastAsia="Times New Roman" w:hAnsi="Arial" w:cs="Arial"/>
          <w:color w:val="323232"/>
          <w:sz w:val="21"/>
          <w:szCs w:val="21"/>
          <w:lang w:eastAsia="tr-TR"/>
        </w:rPr>
        <w:t>**</w:t>
      </w:r>
      <w:r w:rsidRPr="008F1D8C">
        <w:rPr>
          <w:rFonts w:ascii="Arial" w:eastAsia="Times New Roman" w:hAnsi="Arial" w:cs="Arial"/>
          <w:color w:val="323232"/>
          <w:sz w:val="21"/>
          <w:szCs w:val="21"/>
          <w:lang w:eastAsia="tr-TR"/>
        </w:rPr>
        <w:fldChar w:fldCharType="end"/>
      </w:r>
      <w:bookmarkEnd w:id="4"/>
      <w:r w:rsidRPr="008F1D8C">
        <w:rPr>
          <w:rFonts w:ascii="Arial" w:eastAsia="Times New Roman" w:hAnsi="Arial" w:cs="Arial"/>
          <w:color w:val="323232"/>
          <w:sz w:val="21"/>
          <w:szCs w:val="21"/>
          <w:lang w:eastAsia="tr-TR"/>
        </w:rPr>
        <w:t> Anayasa Mahkemesi Başkanı.</w:t>
      </w:r>
    </w:p>
    <w:p w:rsidR="00684DE4" w:rsidRPr="008F1D8C" w:rsidRDefault="00684DE4" w:rsidP="008F1D8C">
      <w:pPr>
        <w:jc w:val="both"/>
      </w:pPr>
    </w:p>
    <w:sectPr w:rsidR="00684DE4" w:rsidRPr="008F1D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04" w:rsidRDefault="00ED3204" w:rsidP="008F1D8C">
      <w:pPr>
        <w:spacing w:after="0" w:line="240" w:lineRule="auto"/>
      </w:pPr>
      <w:r>
        <w:separator/>
      </w:r>
    </w:p>
  </w:endnote>
  <w:endnote w:type="continuationSeparator" w:id="0">
    <w:p w:rsidR="00ED3204" w:rsidRDefault="00ED3204" w:rsidP="008F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283073"/>
      <w:docPartObj>
        <w:docPartGallery w:val="Page Numbers (Bottom of Page)"/>
        <w:docPartUnique/>
      </w:docPartObj>
    </w:sdtPr>
    <w:sdtEndPr/>
    <w:sdtContent>
      <w:p w:rsidR="008F1D8C" w:rsidRDefault="008F1D8C">
        <w:pPr>
          <w:pStyle w:val="AltBilgi"/>
          <w:jc w:val="right"/>
        </w:pPr>
        <w:r>
          <w:fldChar w:fldCharType="begin"/>
        </w:r>
        <w:r>
          <w:instrText>PAGE   \* MERGEFORMAT</w:instrText>
        </w:r>
        <w:r>
          <w:fldChar w:fldCharType="separate"/>
        </w:r>
        <w:r>
          <w:t>2</w:t>
        </w:r>
        <w:r>
          <w:fldChar w:fldCharType="end"/>
        </w:r>
      </w:p>
    </w:sdtContent>
  </w:sdt>
  <w:p w:rsidR="008F1D8C" w:rsidRDefault="008F1D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04" w:rsidRDefault="00ED3204" w:rsidP="008F1D8C">
      <w:pPr>
        <w:spacing w:after="0" w:line="240" w:lineRule="auto"/>
      </w:pPr>
      <w:r>
        <w:separator/>
      </w:r>
    </w:p>
  </w:footnote>
  <w:footnote w:type="continuationSeparator" w:id="0">
    <w:p w:rsidR="00ED3204" w:rsidRDefault="00ED3204" w:rsidP="008F1D8C">
      <w:pPr>
        <w:spacing w:after="0" w:line="240" w:lineRule="auto"/>
      </w:pPr>
      <w:r>
        <w:continuationSeparator/>
      </w:r>
    </w:p>
  </w:footnote>
  <w:footnote w:id="1">
    <w:p w:rsidR="00BA5B93" w:rsidRDefault="00BA5B93">
      <w:pPr>
        <w:pStyle w:val="DipnotMetni"/>
      </w:pPr>
      <w:r>
        <w:rPr>
          <w:rStyle w:val="DipnotBavurusu"/>
        </w:rPr>
        <w:footnoteRef/>
      </w:r>
      <w:r>
        <w:t xml:space="preserve"> </w:t>
      </w:r>
      <w:proofErr w:type="spellStart"/>
      <w:r w:rsidRPr="00BA5B93">
        <w:t>Andrei</w:t>
      </w:r>
      <w:proofErr w:type="spellEnd"/>
      <w:r w:rsidRPr="00BA5B93">
        <w:t xml:space="preserve"> </w:t>
      </w:r>
      <w:proofErr w:type="spellStart"/>
      <w:r w:rsidRPr="00BA5B93">
        <w:t>Marmor</w:t>
      </w:r>
      <w:proofErr w:type="spellEnd"/>
      <w:r w:rsidRPr="00BA5B93">
        <w:t xml:space="preserve">, </w:t>
      </w:r>
      <w:proofErr w:type="spellStart"/>
      <w:r w:rsidRPr="00BA5B93">
        <w:t>Interpretation</w:t>
      </w:r>
      <w:proofErr w:type="spellEnd"/>
      <w:r w:rsidRPr="00BA5B93">
        <w:t xml:space="preserve"> </w:t>
      </w:r>
      <w:proofErr w:type="spellStart"/>
      <w:r w:rsidRPr="00BA5B93">
        <w:t>and</w:t>
      </w:r>
      <w:proofErr w:type="spellEnd"/>
      <w:r w:rsidRPr="00BA5B93">
        <w:t xml:space="preserve"> Legal </w:t>
      </w:r>
      <w:proofErr w:type="spellStart"/>
      <w:r w:rsidRPr="00BA5B93">
        <w:t>Theory</w:t>
      </w:r>
      <w:proofErr w:type="spellEnd"/>
      <w:r w:rsidRPr="00BA5B93">
        <w:t xml:space="preserve">, (Oxford: </w:t>
      </w:r>
      <w:proofErr w:type="spellStart"/>
      <w:r w:rsidRPr="00BA5B93">
        <w:t>Clarendon</w:t>
      </w:r>
      <w:proofErr w:type="spellEnd"/>
      <w:r w:rsidRPr="00BA5B93">
        <w:t xml:space="preserve"> </w:t>
      </w:r>
      <w:proofErr w:type="spellStart"/>
      <w:r w:rsidRPr="00BA5B93">
        <w:t>Press</w:t>
      </w:r>
      <w:proofErr w:type="spellEnd"/>
      <w:r w:rsidRPr="00BA5B93">
        <w:t>, 1992), s. 13.</w:t>
      </w:r>
    </w:p>
  </w:footnote>
  <w:footnote w:id="2">
    <w:p w:rsidR="00BA5B93" w:rsidRDefault="00BA5B93" w:rsidP="00BA5B93">
      <w:pPr>
        <w:pStyle w:val="DipnotMetni"/>
        <w:jc w:val="both"/>
      </w:pPr>
      <w:r>
        <w:rPr>
          <w:rStyle w:val="DipnotBavurusu"/>
        </w:rPr>
        <w:footnoteRef/>
      </w:r>
      <w:r>
        <w:t xml:space="preserve"> </w:t>
      </w:r>
      <w:proofErr w:type="spellStart"/>
      <w:r w:rsidRPr="00BA5B93">
        <w:t>Hans</w:t>
      </w:r>
      <w:proofErr w:type="spellEnd"/>
      <w:r w:rsidRPr="00BA5B93">
        <w:t xml:space="preserve"> Kelsen, “On </w:t>
      </w:r>
      <w:proofErr w:type="spellStart"/>
      <w:r w:rsidRPr="00BA5B93">
        <w:t>the</w:t>
      </w:r>
      <w:proofErr w:type="spellEnd"/>
      <w:r w:rsidRPr="00BA5B93">
        <w:t xml:space="preserve"> </w:t>
      </w:r>
      <w:proofErr w:type="spellStart"/>
      <w:r w:rsidRPr="00BA5B93">
        <w:t>theory</w:t>
      </w:r>
      <w:proofErr w:type="spellEnd"/>
      <w:r w:rsidRPr="00BA5B93">
        <w:t xml:space="preserve"> of </w:t>
      </w:r>
      <w:proofErr w:type="spellStart"/>
      <w:r w:rsidRPr="00BA5B93">
        <w:t>interpretation</w:t>
      </w:r>
      <w:proofErr w:type="spellEnd"/>
      <w:r w:rsidRPr="00BA5B93">
        <w:t xml:space="preserve">”, trans. B. L. </w:t>
      </w:r>
      <w:proofErr w:type="spellStart"/>
      <w:r w:rsidRPr="00BA5B93">
        <w:t>Paulson</w:t>
      </w:r>
      <w:proofErr w:type="spellEnd"/>
      <w:r w:rsidRPr="00BA5B93">
        <w:t xml:space="preserve"> &amp; S. L </w:t>
      </w:r>
      <w:proofErr w:type="spellStart"/>
      <w:r w:rsidRPr="00BA5B93">
        <w:t>Paulson</w:t>
      </w:r>
      <w:proofErr w:type="spellEnd"/>
      <w:r w:rsidRPr="00BA5B93">
        <w:t xml:space="preserve">, Legal </w:t>
      </w:r>
      <w:proofErr w:type="spellStart"/>
      <w:r w:rsidRPr="00BA5B93">
        <w:t>Studies</w:t>
      </w:r>
      <w:proofErr w:type="spellEnd"/>
      <w:r w:rsidRPr="00BA5B93">
        <w:t xml:space="preserve">, </w:t>
      </w:r>
      <w:proofErr w:type="spellStart"/>
      <w:r w:rsidRPr="00BA5B93">
        <w:t>Vol</w:t>
      </w:r>
      <w:proofErr w:type="spellEnd"/>
      <w:r w:rsidRPr="00BA5B93">
        <w:t>. 10, No. 2, (</w:t>
      </w:r>
      <w:proofErr w:type="spellStart"/>
      <w:r w:rsidRPr="00BA5B93">
        <w:t>July</w:t>
      </w:r>
      <w:proofErr w:type="spellEnd"/>
      <w:r w:rsidRPr="00BA5B93">
        <w:t xml:space="preserve"> 1990): 127-135, § 2, s. 128.</w:t>
      </w:r>
    </w:p>
  </w:footnote>
  <w:footnote w:id="3">
    <w:p w:rsidR="00BA5B93" w:rsidRDefault="00BA5B93" w:rsidP="00BA5B93">
      <w:pPr>
        <w:pStyle w:val="DipnotMetni"/>
        <w:jc w:val="both"/>
      </w:pPr>
      <w:r>
        <w:rPr>
          <w:rStyle w:val="DipnotBavurusu"/>
        </w:rPr>
        <w:footnoteRef/>
      </w:r>
      <w:r>
        <w:t xml:space="preserve"> </w:t>
      </w:r>
      <w:r w:rsidRPr="00BA5B93">
        <w:t xml:space="preserve">Ludwig </w:t>
      </w:r>
      <w:proofErr w:type="spellStart"/>
      <w:r w:rsidRPr="00BA5B93">
        <w:t>Wittgenstein</w:t>
      </w:r>
      <w:proofErr w:type="spellEnd"/>
      <w:r w:rsidRPr="00BA5B93">
        <w:t xml:space="preserve">, </w:t>
      </w:r>
      <w:proofErr w:type="spellStart"/>
      <w:r w:rsidRPr="00BA5B93">
        <w:t>Tractatus</w:t>
      </w:r>
      <w:proofErr w:type="spellEnd"/>
      <w:r w:rsidRPr="00BA5B93">
        <w:t xml:space="preserve"> </w:t>
      </w:r>
      <w:proofErr w:type="spellStart"/>
      <w:r w:rsidRPr="00BA5B93">
        <w:t>Logico-Philosophicus</w:t>
      </w:r>
      <w:proofErr w:type="spellEnd"/>
      <w:r w:rsidRPr="00BA5B93">
        <w:t xml:space="preserve">, trans. </w:t>
      </w:r>
      <w:proofErr w:type="spellStart"/>
      <w:r w:rsidRPr="00BA5B93">
        <w:t>C.</w:t>
      </w:r>
      <w:proofErr w:type="gramStart"/>
      <w:r w:rsidRPr="00BA5B93">
        <w:t>K.Ogden</w:t>
      </w:r>
      <w:proofErr w:type="spellEnd"/>
      <w:proofErr w:type="gramEnd"/>
      <w:r w:rsidRPr="00BA5B93">
        <w:t>, (</w:t>
      </w:r>
      <w:proofErr w:type="spellStart"/>
      <w:r w:rsidRPr="00BA5B93">
        <w:t>Wisehouse</w:t>
      </w:r>
      <w:proofErr w:type="spellEnd"/>
      <w:r w:rsidRPr="00BA5B93">
        <w:t xml:space="preserve">: </w:t>
      </w:r>
      <w:proofErr w:type="spellStart"/>
      <w:r w:rsidRPr="00BA5B93">
        <w:t>Chiron</w:t>
      </w:r>
      <w:proofErr w:type="spellEnd"/>
      <w:r w:rsidRPr="00BA5B93">
        <w:t xml:space="preserve"> </w:t>
      </w:r>
      <w:proofErr w:type="spellStart"/>
      <w:r w:rsidRPr="00BA5B93">
        <w:t>Academic</w:t>
      </w:r>
      <w:proofErr w:type="spellEnd"/>
      <w:r w:rsidRPr="00BA5B93">
        <w:t xml:space="preserve"> </w:t>
      </w:r>
      <w:proofErr w:type="spellStart"/>
      <w:r w:rsidRPr="00BA5B93">
        <w:t>Press</w:t>
      </w:r>
      <w:proofErr w:type="spellEnd"/>
      <w:r w:rsidRPr="00BA5B93">
        <w:t xml:space="preserve">, 2016),, § 5.6; Ludwig </w:t>
      </w:r>
      <w:proofErr w:type="spellStart"/>
      <w:r w:rsidRPr="00BA5B93">
        <w:t>Wittgenstein</w:t>
      </w:r>
      <w:proofErr w:type="spellEnd"/>
      <w:r w:rsidRPr="00BA5B93">
        <w:t xml:space="preserve">, </w:t>
      </w:r>
      <w:proofErr w:type="spellStart"/>
      <w:r w:rsidRPr="00BA5B93">
        <w:t>Tractatus</w:t>
      </w:r>
      <w:proofErr w:type="spellEnd"/>
      <w:r w:rsidRPr="00BA5B93">
        <w:t xml:space="preserve"> </w:t>
      </w:r>
      <w:proofErr w:type="spellStart"/>
      <w:r w:rsidRPr="00BA5B93">
        <w:t>Logico-Philosophicus</w:t>
      </w:r>
      <w:proofErr w:type="spellEnd"/>
      <w:r w:rsidRPr="00BA5B93">
        <w:t xml:space="preserve">, Çev. </w:t>
      </w:r>
      <w:proofErr w:type="spellStart"/>
      <w:r w:rsidRPr="00BA5B93">
        <w:t>O.Aruoba</w:t>
      </w:r>
      <w:proofErr w:type="spellEnd"/>
      <w:r w:rsidRPr="00BA5B93">
        <w:t>, 3. Baskı, (İstanbul: Yapı Kredi Yayınları, 2002), § 5.6, s. 131.</w:t>
      </w:r>
    </w:p>
  </w:footnote>
  <w:footnote w:id="4">
    <w:p w:rsidR="00BA5B93" w:rsidRDefault="00BA5B93" w:rsidP="00BA5B93">
      <w:pPr>
        <w:pStyle w:val="DipnotMetni"/>
        <w:jc w:val="both"/>
      </w:pPr>
      <w:r>
        <w:rPr>
          <w:rStyle w:val="DipnotBavurusu"/>
        </w:rPr>
        <w:footnoteRef/>
      </w:r>
      <w:r>
        <w:t xml:space="preserve"> </w:t>
      </w:r>
      <w:r w:rsidRPr="00BA5B93">
        <w:t>Bu bağlamda “</w:t>
      </w:r>
      <w:proofErr w:type="spellStart"/>
      <w:r w:rsidRPr="00BA5B93">
        <w:t>orijinalizm</w:t>
      </w:r>
      <w:proofErr w:type="spellEnd"/>
      <w:r w:rsidRPr="00BA5B93">
        <w:t xml:space="preserve">” ile “yaşayan anayasacılık” yaklaşımlarının birbirine zıt değil, “metin-ilke” yöntemiyle birbiriyle telif </w:t>
      </w:r>
      <w:proofErr w:type="spellStart"/>
      <w:r w:rsidRPr="00BA5B93">
        <w:t>edilebileciğini</w:t>
      </w:r>
      <w:proofErr w:type="spellEnd"/>
      <w:r w:rsidRPr="00BA5B93">
        <w:t xml:space="preserve"> savunan bir çalışma için bkz. </w:t>
      </w:r>
      <w:proofErr w:type="spellStart"/>
      <w:r w:rsidRPr="00BA5B93">
        <w:t>Jack</w:t>
      </w:r>
      <w:proofErr w:type="spellEnd"/>
      <w:r w:rsidRPr="00BA5B93">
        <w:t xml:space="preserve"> M. </w:t>
      </w:r>
      <w:proofErr w:type="spellStart"/>
      <w:r w:rsidRPr="00BA5B93">
        <w:t>Balkin</w:t>
      </w:r>
      <w:proofErr w:type="spellEnd"/>
      <w:r w:rsidRPr="00BA5B93">
        <w:t xml:space="preserve">, </w:t>
      </w:r>
      <w:proofErr w:type="spellStart"/>
      <w:r w:rsidRPr="00BA5B93">
        <w:t>Living</w:t>
      </w:r>
      <w:proofErr w:type="spellEnd"/>
      <w:r w:rsidRPr="00BA5B93">
        <w:t xml:space="preserve"> </w:t>
      </w:r>
      <w:proofErr w:type="spellStart"/>
      <w:r w:rsidRPr="00BA5B93">
        <w:t>Originalism</w:t>
      </w:r>
      <w:proofErr w:type="spellEnd"/>
      <w:r w:rsidRPr="00BA5B93">
        <w:t xml:space="preserve">, (Cambridge, </w:t>
      </w:r>
      <w:proofErr w:type="spellStart"/>
      <w:r w:rsidRPr="00BA5B93">
        <w:t>Mass</w:t>
      </w:r>
      <w:proofErr w:type="spellEnd"/>
      <w:r w:rsidRPr="00BA5B93">
        <w:t xml:space="preserve">.: Harvard </w:t>
      </w:r>
      <w:proofErr w:type="spellStart"/>
      <w:r w:rsidRPr="00BA5B93">
        <w:t>University</w:t>
      </w:r>
      <w:proofErr w:type="spellEnd"/>
      <w:r w:rsidRPr="00BA5B93">
        <w:t xml:space="preserve"> </w:t>
      </w:r>
      <w:proofErr w:type="spellStart"/>
      <w:r w:rsidRPr="00BA5B93">
        <w:t>Press</w:t>
      </w:r>
      <w:proofErr w:type="spellEnd"/>
      <w:r w:rsidRPr="00BA5B93">
        <w:t>, 2014).</w:t>
      </w:r>
    </w:p>
  </w:footnote>
  <w:footnote w:id="5">
    <w:p w:rsidR="00BA5B93" w:rsidRDefault="00BA5B93" w:rsidP="00BA5B93">
      <w:pPr>
        <w:pStyle w:val="DipnotMetni"/>
        <w:jc w:val="both"/>
      </w:pPr>
      <w:r>
        <w:rPr>
          <w:rStyle w:val="DipnotBavurusu"/>
        </w:rPr>
        <w:footnoteRef/>
      </w:r>
      <w:r>
        <w:t xml:space="preserve"> </w:t>
      </w:r>
      <w:r w:rsidRPr="00BA5B93">
        <w:t xml:space="preserve">Bkz. Zühtü Arslan, “Yüzüncü Yılında Cumhuriyet’in Anayasal Kimliği ve Anayasa Yargısı”, Anayasa Yargısı, Cilt: 40, Sayı: 2, (2023): 1–23, </w:t>
      </w:r>
      <w:proofErr w:type="spellStart"/>
      <w:r w:rsidRPr="00BA5B93">
        <w:t>ss</w:t>
      </w:r>
      <w:proofErr w:type="spellEnd"/>
      <w:r w:rsidRPr="00BA5B93">
        <w:t>. 16-19.</w:t>
      </w:r>
    </w:p>
  </w:footnote>
  <w:footnote w:id="6">
    <w:p w:rsidR="00BA5B93" w:rsidRDefault="00BA5B93" w:rsidP="00BA5B93">
      <w:pPr>
        <w:pStyle w:val="DipnotMetni"/>
        <w:jc w:val="both"/>
      </w:pPr>
      <w:r>
        <w:rPr>
          <w:rStyle w:val="DipnotBavurusu"/>
        </w:rPr>
        <w:footnoteRef/>
      </w:r>
      <w:r>
        <w:t xml:space="preserve"> </w:t>
      </w:r>
      <w:r w:rsidRPr="00BA5B93">
        <w:t xml:space="preserve">Bu konuda </w:t>
      </w:r>
      <w:proofErr w:type="spellStart"/>
      <w:proofErr w:type="gramStart"/>
      <w:r w:rsidRPr="00BA5B93">
        <w:t>bkz.Bertil</w:t>
      </w:r>
      <w:proofErr w:type="spellEnd"/>
      <w:proofErr w:type="gramEnd"/>
      <w:r w:rsidRPr="00BA5B93">
        <w:t xml:space="preserve"> Emrah </w:t>
      </w:r>
      <w:proofErr w:type="spellStart"/>
      <w:r w:rsidRPr="00BA5B93">
        <w:t>Oder</w:t>
      </w:r>
      <w:proofErr w:type="spellEnd"/>
      <w:r w:rsidRPr="00BA5B93">
        <w:t xml:space="preserve">, Anayasa Yargısında Yorum Yöntemleri, (İstanbul: Beta Yayınları, 2010), </w:t>
      </w:r>
      <w:proofErr w:type="spellStart"/>
      <w:r w:rsidRPr="00BA5B93">
        <w:t>ss</w:t>
      </w:r>
      <w:proofErr w:type="spellEnd"/>
      <w:r w:rsidRPr="00BA5B93">
        <w:t>. 28-31.</w:t>
      </w:r>
    </w:p>
  </w:footnote>
  <w:footnote w:id="7">
    <w:p w:rsidR="00BA5B93" w:rsidRDefault="00BA5B93">
      <w:pPr>
        <w:pStyle w:val="DipnotMetni"/>
      </w:pPr>
      <w:r>
        <w:rPr>
          <w:rStyle w:val="DipnotBavurusu"/>
        </w:rPr>
        <w:footnoteRef/>
      </w:r>
      <w:r>
        <w:t xml:space="preserve"> </w:t>
      </w:r>
      <w:r w:rsidRPr="00BA5B93">
        <w:t>Şerafettin Can Atalay (2) [GK], B. No: 2023/53898, 25/10/2023, § 71.</w:t>
      </w:r>
    </w:p>
  </w:footnote>
  <w:footnote w:id="8">
    <w:p w:rsidR="00BA5B93" w:rsidRDefault="00BA5B93">
      <w:pPr>
        <w:pStyle w:val="DipnotMetni"/>
      </w:pPr>
      <w:r>
        <w:rPr>
          <w:rStyle w:val="DipnotBavurusu"/>
        </w:rPr>
        <w:footnoteRef/>
      </w:r>
      <w:r>
        <w:t xml:space="preserve"> </w:t>
      </w:r>
      <w:r w:rsidRPr="00BA5B93">
        <w:t>AYM, E.1990/1, K.1990/21, 17/07/1990.</w:t>
      </w:r>
    </w:p>
  </w:footnote>
  <w:footnote w:id="9">
    <w:p w:rsidR="00BA5B93" w:rsidRDefault="00BA5B93" w:rsidP="00BA5B93">
      <w:pPr>
        <w:pStyle w:val="DipnotMetni"/>
        <w:jc w:val="both"/>
      </w:pPr>
      <w:r>
        <w:rPr>
          <w:rStyle w:val="DipnotBavurusu"/>
        </w:rPr>
        <w:footnoteRef/>
      </w:r>
      <w:r>
        <w:t xml:space="preserve"> </w:t>
      </w:r>
      <w:proofErr w:type="spellStart"/>
      <w:r w:rsidRPr="00BA5B93">
        <w:t>Hegel</w:t>
      </w:r>
      <w:proofErr w:type="spellEnd"/>
      <w:r w:rsidRPr="00BA5B93">
        <w:t xml:space="preserve">, G.W.F. (1894). </w:t>
      </w:r>
      <w:proofErr w:type="spellStart"/>
      <w:r w:rsidRPr="00BA5B93">
        <w:t>Lectures</w:t>
      </w:r>
      <w:proofErr w:type="spellEnd"/>
      <w:r w:rsidRPr="00BA5B93">
        <w:t xml:space="preserve"> on </w:t>
      </w:r>
      <w:proofErr w:type="spellStart"/>
      <w:r w:rsidRPr="00BA5B93">
        <w:t>the</w:t>
      </w:r>
      <w:proofErr w:type="spellEnd"/>
      <w:r w:rsidRPr="00BA5B93">
        <w:t xml:space="preserve"> </w:t>
      </w:r>
      <w:proofErr w:type="spellStart"/>
      <w:r w:rsidRPr="00BA5B93">
        <w:t>Philosophy</w:t>
      </w:r>
      <w:proofErr w:type="spellEnd"/>
      <w:r w:rsidRPr="00BA5B93">
        <w:t xml:space="preserve"> of </w:t>
      </w:r>
      <w:proofErr w:type="spellStart"/>
      <w:r w:rsidRPr="00BA5B93">
        <w:t>History</w:t>
      </w:r>
      <w:proofErr w:type="spellEnd"/>
      <w:r w:rsidRPr="00BA5B93">
        <w:t xml:space="preserve">, trans. </w:t>
      </w:r>
      <w:proofErr w:type="spellStart"/>
      <w:r w:rsidRPr="00BA5B93">
        <w:t>Sibree</w:t>
      </w:r>
      <w:proofErr w:type="spellEnd"/>
      <w:r w:rsidRPr="00BA5B93">
        <w:t xml:space="preserve">, J., </w:t>
      </w:r>
      <w:proofErr w:type="spellStart"/>
      <w:r w:rsidRPr="00BA5B93">
        <w:t>London</w:t>
      </w:r>
      <w:proofErr w:type="spellEnd"/>
      <w:r w:rsidRPr="00BA5B93">
        <w:t xml:space="preserve">: George </w:t>
      </w:r>
      <w:proofErr w:type="spellStart"/>
      <w:r w:rsidRPr="00BA5B93">
        <w:t>Bell</w:t>
      </w:r>
      <w:proofErr w:type="spellEnd"/>
      <w:r w:rsidRPr="00BA5B93">
        <w:t xml:space="preserve">&amp; </w:t>
      </w:r>
      <w:proofErr w:type="spellStart"/>
      <w:r w:rsidRPr="00BA5B93">
        <w:t>Sons</w:t>
      </w:r>
      <w:proofErr w:type="spellEnd"/>
      <w:r w:rsidRPr="00BA5B93">
        <w:t>, s. 18.</w:t>
      </w:r>
    </w:p>
  </w:footnote>
  <w:footnote w:id="10">
    <w:p w:rsidR="00BA5B93" w:rsidRDefault="00BA5B93" w:rsidP="00BA5B93">
      <w:pPr>
        <w:pStyle w:val="DipnotMetni"/>
        <w:jc w:val="both"/>
      </w:pPr>
      <w:r>
        <w:rPr>
          <w:rStyle w:val="DipnotBavurusu"/>
        </w:rPr>
        <w:footnoteRef/>
      </w:r>
      <w:r>
        <w:t xml:space="preserve"> </w:t>
      </w:r>
      <w:r w:rsidRPr="00BA5B93">
        <w:t>Ömer Faruk Gergerlioğlu [GK], B. No. 2019/10634, 01/07/ 2021, § 50; Ali Kuş [GK], B. No. 2017/27822, 10/02/2022, § 50.</w:t>
      </w:r>
    </w:p>
  </w:footnote>
  <w:footnote w:id="11">
    <w:p w:rsidR="00BA5B93" w:rsidRDefault="00BA5B93">
      <w:pPr>
        <w:pStyle w:val="DipnotMetni"/>
      </w:pPr>
      <w:r>
        <w:rPr>
          <w:rStyle w:val="DipnotBavurusu"/>
        </w:rPr>
        <w:footnoteRef/>
      </w:r>
      <w:r>
        <w:t xml:space="preserve"> </w:t>
      </w:r>
      <w:r w:rsidRPr="00BA5B93">
        <w:t xml:space="preserve">Martin </w:t>
      </w:r>
      <w:proofErr w:type="spellStart"/>
      <w:r w:rsidRPr="00BA5B93">
        <w:t>Heidegger</w:t>
      </w:r>
      <w:proofErr w:type="spellEnd"/>
      <w:r w:rsidRPr="00BA5B93">
        <w:t xml:space="preserve">, </w:t>
      </w:r>
      <w:proofErr w:type="spellStart"/>
      <w:r w:rsidRPr="00BA5B93">
        <w:t>Being</w:t>
      </w:r>
      <w:proofErr w:type="spellEnd"/>
      <w:r w:rsidRPr="00BA5B93">
        <w:t xml:space="preserve"> </w:t>
      </w:r>
      <w:proofErr w:type="spellStart"/>
      <w:r w:rsidRPr="00BA5B93">
        <w:t>and</w:t>
      </w:r>
      <w:proofErr w:type="spellEnd"/>
      <w:r w:rsidRPr="00BA5B93">
        <w:t xml:space="preserve"> Time, trans. J. </w:t>
      </w:r>
      <w:proofErr w:type="spellStart"/>
      <w:r w:rsidRPr="00BA5B93">
        <w:t>Macquarrie</w:t>
      </w:r>
      <w:proofErr w:type="spellEnd"/>
      <w:r w:rsidRPr="00BA5B93">
        <w:t xml:space="preserve"> &amp; E. </w:t>
      </w:r>
      <w:proofErr w:type="spellStart"/>
      <w:r w:rsidRPr="00BA5B93">
        <w:t>Robinson</w:t>
      </w:r>
      <w:proofErr w:type="spellEnd"/>
      <w:r w:rsidRPr="00BA5B93">
        <w:t xml:space="preserve">, (Oxford: Basil </w:t>
      </w:r>
      <w:proofErr w:type="spellStart"/>
      <w:r w:rsidRPr="00BA5B93">
        <w:t>Blackwell</w:t>
      </w:r>
      <w:proofErr w:type="spellEnd"/>
      <w:r w:rsidRPr="00BA5B93">
        <w:t>, 1962), s. 191.</w:t>
      </w:r>
    </w:p>
  </w:footnote>
  <w:footnote w:id="12">
    <w:p w:rsidR="00BA5B93" w:rsidRDefault="00BA5B93" w:rsidP="00BA5B93">
      <w:pPr>
        <w:pStyle w:val="DipnotMetni"/>
        <w:jc w:val="both"/>
      </w:pPr>
      <w:r>
        <w:rPr>
          <w:rStyle w:val="DipnotBavurusu"/>
        </w:rPr>
        <w:footnoteRef/>
      </w:r>
      <w:r>
        <w:t xml:space="preserve"> </w:t>
      </w:r>
      <w:r w:rsidRPr="00BA5B93">
        <w:t xml:space="preserve">Bu konuda bkz. Oya </w:t>
      </w:r>
      <w:proofErr w:type="spellStart"/>
      <w:r w:rsidRPr="00BA5B93">
        <w:t>Boydar</w:t>
      </w:r>
      <w:proofErr w:type="spellEnd"/>
      <w:r w:rsidRPr="00BA5B93">
        <w:t>, Anayasal Yoruma Giriş, (İstanbul: On İki Levha Yayıncılık, 2021), s.72: “Hukuk normlarını ya da özel olarak da anayasayı yorumlarken aslında kim olduğumuzu söylemiş oluyoruz.”</w:t>
      </w:r>
    </w:p>
  </w:footnote>
  <w:footnote w:id="13">
    <w:p w:rsidR="00BA5B93" w:rsidRDefault="00BA5B93" w:rsidP="00BA5B93">
      <w:pPr>
        <w:pStyle w:val="DipnotMetni"/>
        <w:jc w:val="both"/>
      </w:pPr>
      <w:r>
        <w:rPr>
          <w:rStyle w:val="DipnotBavurusu"/>
        </w:rPr>
        <w:footnoteRef/>
      </w:r>
      <w:r>
        <w:t xml:space="preserve"> </w:t>
      </w:r>
      <w:r w:rsidRPr="00BA5B93">
        <w:t xml:space="preserve">Thomas S. </w:t>
      </w:r>
      <w:proofErr w:type="spellStart"/>
      <w:r w:rsidRPr="00BA5B93">
        <w:t>Kuhn</w:t>
      </w:r>
      <w:proofErr w:type="spellEnd"/>
      <w:r w:rsidRPr="00BA5B93">
        <w:t xml:space="preserve">, </w:t>
      </w:r>
      <w:proofErr w:type="spellStart"/>
      <w:r w:rsidRPr="00BA5B93">
        <w:t>The</w:t>
      </w:r>
      <w:proofErr w:type="spellEnd"/>
      <w:r w:rsidRPr="00BA5B93">
        <w:t xml:space="preserve"> </w:t>
      </w:r>
      <w:proofErr w:type="spellStart"/>
      <w:r w:rsidRPr="00BA5B93">
        <w:t>Structure</w:t>
      </w:r>
      <w:proofErr w:type="spellEnd"/>
      <w:r w:rsidRPr="00BA5B93">
        <w:t xml:space="preserve"> of </w:t>
      </w:r>
      <w:proofErr w:type="spellStart"/>
      <w:r w:rsidRPr="00BA5B93">
        <w:t>Scientific</w:t>
      </w:r>
      <w:proofErr w:type="spellEnd"/>
      <w:r w:rsidRPr="00BA5B93">
        <w:t xml:space="preserve"> </w:t>
      </w:r>
      <w:proofErr w:type="spellStart"/>
      <w:r w:rsidRPr="00BA5B93">
        <w:t>Revolutions</w:t>
      </w:r>
      <w:proofErr w:type="spellEnd"/>
      <w:r w:rsidRPr="00BA5B93">
        <w:t xml:space="preserve">, 3rd ed., (Chicago: </w:t>
      </w:r>
      <w:proofErr w:type="spellStart"/>
      <w:r w:rsidRPr="00BA5B93">
        <w:t>University</w:t>
      </w:r>
      <w:proofErr w:type="spellEnd"/>
      <w:r w:rsidRPr="00BA5B93">
        <w:t xml:space="preserve"> of Chicago </w:t>
      </w:r>
      <w:proofErr w:type="spellStart"/>
      <w:r w:rsidRPr="00BA5B93">
        <w:t>Press</w:t>
      </w:r>
      <w:proofErr w:type="spellEnd"/>
      <w:r w:rsidRPr="00BA5B93">
        <w:t>, 1996). s. 175.</w:t>
      </w:r>
    </w:p>
  </w:footnote>
  <w:footnote w:id="14">
    <w:p w:rsidR="00BA5B93" w:rsidRDefault="00BA5B93" w:rsidP="00BA5B93">
      <w:pPr>
        <w:pStyle w:val="DipnotMetni"/>
        <w:jc w:val="both"/>
      </w:pPr>
      <w:r>
        <w:rPr>
          <w:rStyle w:val="DipnotBavurusu"/>
        </w:rPr>
        <w:footnoteRef/>
      </w:r>
      <w:r>
        <w:t xml:space="preserve"> </w:t>
      </w:r>
      <w:r w:rsidRPr="00BA5B93">
        <w:t xml:space="preserve">Mevlâna, Mesnevi, </w:t>
      </w:r>
      <w:proofErr w:type="spellStart"/>
      <w:r w:rsidRPr="00BA5B93">
        <w:t>Cev</w:t>
      </w:r>
      <w:proofErr w:type="spellEnd"/>
      <w:r w:rsidRPr="00BA5B93">
        <w:t xml:space="preserve">. </w:t>
      </w:r>
      <w:proofErr w:type="spellStart"/>
      <w:r w:rsidRPr="00BA5B93">
        <w:t>V.Izbudak</w:t>
      </w:r>
      <w:proofErr w:type="spellEnd"/>
      <w:r w:rsidRPr="00BA5B93">
        <w:t xml:space="preserve">, (Konya: Konya </w:t>
      </w:r>
      <w:proofErr w:type="spellStart"/>
      <w:r w:rsidRPr="00BA5B93">
        <w:t>Büyüksehir</w:t>
      </w:r>
      <w:proofErr w:type="spellEnd"/>
      <w:r w:rsidRPr="00BA5B93">
        <w:t xml:space="preserve"> Belediyesi </w:t>
      </w:r>
      <w:proofErr w:type="spellStart"/>
      <w:r w:rsidRPr="00BA5B93">
        <w:t>Yayinlari</w:t>
      </w:r>
      <w:proofErr w:type="spellEnd"/>
      <w:r w:rsidRPr="00BA5B93">
        <w:t>, 2004), Cilt V, §§ 1085, 1090, s. 112.</w:t>
      </w:r>
    </w:p>
  </w:footnote>
  <w:footnote w:id="15">
    <w:p w:rsidR="00BA5B93" w:rsidRDefault="00BA5B93" w:rsidP="00BA5B93">
      <w:pPr>
        <w:pStyle w:val="DipnotMetni"/>
        <w:jc w:val="both"/>
      </w:pPr>
      <w:r>
        <w:rPr>
          <w:rStyle w:val="DipnotBavurusu"/>
        </w:rPr>
        <w:footnoteRef/>
      </w:r>
      <w:r>
        <w:t xml:space="preserve"> </w:t>
      </w:r>
      <w:r w:rsidRPr="00BA5B93">
        <w:t>Hak eksenli paradigmanın kavramsal açıklaması için bkz. Zühtü Arslan, “</w:t>
      </w:r>
      <w:proofErr w:type="spellStart"/>
      <w:r w:rsidRPr="00BA5B93">
        <w:t>Conflicting</w:t>
      </w:r>
      <w:proofErr w:type="spellEnd"/>
      <w:r w:rsidRPr="00BA5B93">
        <w:t xml:space="preserve"> </w:t>
      </w:r>
      <w:proofErr w:type="spellStart"/>
      <w:r w:rsidRPr="00BA5B93">
        <w:t>Paradigms</w:t>
      </w:r>
      <w:proofErr w:type="spellEnd"/>
      <w:r w:rsidRPr="00BA5B93">
        <w:t xml:space="preserve">: </w:t>
      </w:r>
      <w:proofErr w:type="spellStart"/>
      <w:r w:rsidRPr="00BA5B93">
        <w:t>Political</w:t>
      </w:r>
      <w:proofErr w:type="spellEnd"/>
      <w:r w:rsidRPr="00BA5B93">
        <w:t xml:space="preserve"> </w:t>
      </w:r>
      <w:proofErr w:type="spellStart"/>
      <w:r w:rsidRPr="00BA5B93">
        <w:t>Rights</w:t>
      </w:r>
      <w:proofErr w:type="spellEnd"/>
      <w:r w:rsidRPr="00BA5B93">
        <w:t xml:space="preserve"> in </w:t>
      </w:r>
      <w:proofErr w:type="spellStart"/>
      <w:r w:rsidRPr="00BA5B93">
        <w:t>the</w:t>
      </w:r>
      <w:proofErr w:type="spellEnd"/>
      <w:r w:rsidRPr="00BA5B93">
        <w:t xml:space="preserve"> </w:t>
      </w:r>
      <w:proofErr w:type="spellStart"/>
      <w:r w:rsidRPr="00BA5B93">
        <w:t>Turkish</w:t>
      </w:r>
      <w:proofErr w:type="spellEnd"/>
      <w:r w:rsidRPr="00BA5B93">
        <w:t xml:space="preserve"> </w:t>
      </w:r>
      <w:proofErr w:type="spellStart"/>
      <w:r w:rsidRPr="00BA5B93">
        <w:t>Constitutional</w:t>
      </w:r>
      <w:proofErr w:type="spellEnd"/>
      <w:r w:rsidRPr="00BA5B93">
        <w:t xml:space="preserve"> Court”, </w:t>
      </w:r>
      <w:proofErr w:type="spellStart"/>
      <w:r w:rsidRPr="00BA5B93">
        <w:t>Critique</w:t>
      </w:r>
      <w:proofErr w:type="spellEnd"/>
      <w:r w:rsidRPr="00BA5B93">
        <w:t xml:space="preserve">: Critical </w:t>
      </w:r>
      <w:proofErr w:type="spellStart"/>
      <w:r w:rsidRPr="00BA5B93">
        <w:t>Middle</w:t>
      </w:r>
      <w:proofErr w:type="spellEnd"/>
      <w:r w:rsidRPr="00BA5B93">
        <w:t xml:space="preserve"> </w:t>
      </w:r>
      <w:proofErr w:type="spellStart"/>
      <w:r w:rsidRPr="00BA5B93">
        <w:t>Eastern</w:t>
      </w:r>
      <w:proofErr w:type="spellEnd"/>
      <w:r w:rsidRPr="00BA5B93">
        <w:t xml:space="preserve"> </w:t>
      </w:r>
      <w:proofErr w:type="spellStart"/>
      <w:r w:rsidRPr="00BA5B93">
        <w:t>Studies</w:t>
      </w:r>
      <w:proofErr w:type="spellEnd"/>
      <w:r w:rsidRPr="00BA5B93">
        <w:t>, 11/1, (Spring 2002): 9-25.</w:t>
      </w:r>
    </w:p>
  </w:footnote>
  <w:footnote w:id="16">
    <w:p w:rsidR="00BA5B93" w:rsidRDefault="00BA5B93" w:rsidP="00BA5B93">
      <w:pPr>
        <w:pStyle w:val="DipnotMetni"/>
        <w:jc w:val="both"/>
      </w:pPr>
      <w:r>
        <w:rPr>
          <w:rStyle w:val="DipnotBavurusu"/>
        </w:rPr>
        <w:footnoteRef/>
      </w:r>
      <w:r>
        <w:t xml:space="preserve"> </w:t>
      </w:r>
      <w:r w:rsidRPr="00BA5B93">
        <w:t>Ömer Faruk Gergerlioğlu [GK], § 133.</w:t>
      </w:r>
    </w:p>
  </w:footnote>
  <w:footnote w:id="17">
    <w:p w:rsidR="00BA5B93" w:rsidRDefault="00BA5B93" w:rsidP="00BA5B93">
      <w:pPr>
        <w:pStyle w:val="DipnotMetni"/>
        <w:jc w:val="both"/>
      </w:pPr>
      <w:r>
        <w:rPr>
          <w:rStyle w:val="DipnotBavurusu"/>
        </w:rPr>
        <w:footnoteRef/>
      </w:r>
      <w:r>
        <w:t xml:space="preserve"> </w:t>
      </w:r>
      <w:r w:rsidRPr="00BA5B93">
        <w:t>Ali Kuş [GK], B. No: 2017/27822, 10/2/2022, § 50.</w:t>
      </w:r>
    </w:p>
  </w:footnote>
  <w:footnote w:id="18">
    <w:p w:rsidR="00BA5B93" w:rsidRDefault="00BA5B93" w:rsidP="00BA5B93">
      <w:pPr>
        <w:pStyle w:val="DipnotMetni"/>
        <w:jc w:val="both"/>
      </w:pPr>
      <w:r>
        <w:rPr>
          <w:rStyle w:val="DipnotBavurusu"/>
        </w:rPr>
        <w:footnoteRef/>
      </w:r>
      <w:r>
        <w:t xml:space="preserve"> </w:t>
      </w:r>
      <w:r w:rsidRPr="00BA5B93">
        <w:t>Şerafettin Can Atalay (2) [GK], § 67.</w:t>
      </w:r>
    </w:p>
  </w:footnote>
  <w:footnote w:id="19">
    <w:p w:rsidR="00BA5B93" w:rsidRDefault="00BA5B93">
      <w:pPr>
        <w:pStyle w:val="DipnotMetni"/>
      </w:pPr>
      <w:r>
        <w:rPr>
          <w:rStyle w:val="DipnotBavurusu"/>
        </w:rPr>
        <w:footnoteRef/>
      </w:r>
      <w:r>
        <w:t xml:space="preserve"> </w:t>
      </w:r>
      <w:r w:rsidRPr="00BA5B93">
        <w:t>AYM, E. 2018/71, K. 2018/118, 27/12/2018, § 8; AYM, E. 2022/89, K. 2022/129, 26/10/2022, § 23.</w:t>
      </w:r>
    </w:p>
  </w:footnote>
  <w:footnote w:id="20">
    <w:p w:rsidR="00BA5B93" w:rsidRDefault="00BA5B93">
      <w:pPr>
        <w:pStyle w:val="DipnotMetni"/>
      </w:pPr>
      <w:r>
        <w:rPr>
          <w:rStyle w:val="DipnotBavurusu"/>
        </w:rPr>
        <w:footnoteRef/>
      </w:r>
      <w:r>
        <w:t xml:space="preserve"> </w:t>
      </w:r>
      <w:r w:rsidRPr="00BA5B93">
        <w:t>AYM, E.2019/9, K.2019/27, 11/04/2019, §§ 19-22.</w:t>
      </w:r>
    </w:p>
  </w:footnote>
  <w:footnote w:id="21">
    <w:p w:rsidR="00BA5B93" w:rsidRDefault="00BA5B93">
      <w:pPr>
        <w:pStyle w:val="DipnotMetni"/>
      </w:pPr>
      <w:r>
        <w:rPr>
          <w:rStyle w:val="DipnotBavurusu"/>
        </w:rPr>
        <w:footnoteRef/>
      </w:r>
      <w:r>
        <w:t xml:space="preserve"> </w:t>
      </w:r>
      <w:r w:rsidRPr="00BA5B93">
        <w:t>AYM, E. 2021/104, K. 2021/87, 11/11/2021, § 48.</w:t>
      </w:r>
    </w:p>
  </w:footnote>
  <w:footnote w:id="22">
    <w:p w:rsidR="00BA5B93" w:rsidRDefault="00BA5B93">
      <w:pPr>
        <w:pStyle w:val="DipnotMetni"/>
      </w:pPr>
      <w:r>
        <w:rPr>
          <w:rStyle w:val="DipnotBavurusu"/>
        </w:rPr>
        <w:footnoteRef/>
      </w:r>
      <w:r>
        <w:t xml:space="preserve"> </w:t>
      </w:r>
      <w:r w:rsidRPr="00BA5B93">
        <w:t>Mehmet Fatih Bulucu [GK], B. No: 2019/26274, 27/10/2022, §76.</w:t>
      </w:r>
    </w:p>
  </w:footnote>
  <w:footnote w:id="23">
    <w:p w:rsidR="00BA5B93" w:rsidRDefault="00BA5B93">
      <w:pPr>
        <w:pStyle w:val="DipnotMetni"/>
      </w:pPr>
      <w:r>
        <w:rPr>
          <w:rStyle w:val="DipnotBavurusu"/>
        </w:rPr>
        <w:footnoteRef/>
      </w:r>
      <w:r>
        <w:t xml:space="preserve"> </w:t>
      </w:r>
      <w:r w:rsidRPr="00BA5B93">
        <w:t>Mehmet Güçlü ve Ramazan Erdem, B. No: 2015/7942, 28/5/2019, § 50.</w:t>
      </w:r>
    </w:p>
  </w:footnote>
  <w:footnote w:id="24">
    <w:p w:rsidR="00BA5B93" w:rsidRDefault="00BA5B93" w:rsidP="00BA5B93">
      <w:pPr>
        <w:pStyle w:val="DipnotMetni"/>
        <w:jc w:val="both"/>
      </w:pPr>
      <w:r>
        <w:rPr>
          <w:rStyle w:val="DipnotBavurusu"/>
        </w:rPr>
        <w:footnoteRef/>
      </w:r>
      <w:r>
        <w:t xml:space="preserve"> </w:t>
      </w:r>
      <w:proofErr w:type="spellStart"/>
      <w:r w:rsidRPr="00BA5B93">
        <w:t>Hans-Georg</w:t>
      </w:r>
      <w:proofErr w:type="spellEnd"/>
      <w:r w:rsidRPr="00BA5B93">
        <w:t xml:space="preserve"> </w:t>
      </w:r>
      <w:proofErr w:type="spellStart"/>
      <w:r w:rsidRPr="00BA5B93">
        <w:t>Gadamer</w:t>
      </w:r>
      <w:proofErr w:type="spellEnd"/>
      <w:r w:rsidRPr="00BA5B93">
        <w:t xml:space="preserve">, </w:t>
      </w:r>
      <w:proofErr w:type="spellStart"/>
      <w:r w:rsidRPr="00BA5B93">
        <w:t>Truth</w:t>
      </w:r>
      <w:proofErr w:type="spellEnd"/>
      <w:r w:rsidRPr="00BA5B93">
        <w:t xml:space="preserve"> </w:t>
      </w:r>
      <w:proofErr w:type="spellStart"/>
      <w:r w:rsidRPr="00BA5B93">
        <w:t>and</w:t>
      </w:r>
      <w:proofErr w:type="spellEnd"/>
      <w:r w:rsidRPr="00BA5B93">
        <w:t xml:space="preserve"> </w:t>
      </w:r>
      <w:proofErr w:type="spellStart"/>
      <w:r w:rsidRPr="00BA5B93">
        <w:t>Method</w:t>
      </w:r>
      <w:proofErr w:type="spellEnd"/>
      <w:r w:rsidRPr="00BA5B93">
        <w:t xml:space="preserve">, Second Edition, trans. J. </w:t>
      </w:r>
      <w:proofErr w:type="spellStart"/>
      <w:r w:rsidRPr="00BA5B93">
        <w:t>Weindheimer</w:t>
      </w:r>
      <w:proofErr w:type="spellEnd"/>
      <w:r w:rsidRPr="00BA5B93">
        <w:t xml:space="preserve"> &amp; D.G. Marshall, (</w:t>
      </w:r>
      <w:proofErr w:type="spellStart"/>
      <w:r w:rsidRPr="00BA5B93">
        <w:t>London</w:t>
      </w:r>
      <w:proofErr w:type="spellEnd"/>
      <w:r w:rsidRPr="00BA5B93">
        <w:t xml:space="preserve">: </w:t>
      </w:r>
      <w:proofErr w:type="spellStart"/>
      <w:r w:rsidRPr="00BA5B93">
        <w:t>Sheed</w:t>
      </w:r>
      <w:proofErr w:type="spellEnd"/>
      <w:r w:rsidRPr="00BA5B93">
        <w:t xml:space="preserve"> &amp; </w:t>
      </w:r>
      <w:proofErr w:type="spellStart"/>
      <w:r w:rsidRPr="00BA5B93">
        <w:t>Ward</w:t>
      </w:r>
      <w:proofErr w:type="spellEnd"/>
      <w:r w:rsidRPr="00BA5B93">
        <w:t>, 1989), s. 329.</w:t>
      </w:r>
    </w:p>
  </w:footnote>
  <w:footnote w:id="25">
    <w:p w:rsidR="00BA5B93" w:rsidRDefault="00BA5B93">
      <w:pPr>
        <w:pStyle w:val="DipnotMetni"/>
      </w:pPr>
      <w:r>
        <w:rPr>
          <w:rStyle w:val="DipnotBavurusu"/>
        </w:rPr>
        <w:footnoteRef/>
      </w:r>
      <w:r>
        <w:t xml:space="preserve"> </w:t>
      </w:r>
      <w:proofErr w:type="spellStart"/>
      <w:r w:rsidRPr="00BA5B93">
        <w:t>Leo</w:t>
      </w:r>
      <w:proofErr w:type="spellEnd"/>
      <w:r w:rsidRPr="00BA5B93">
        <w:t xml:space="preserve"> Tolstoy, </w:t>
      </w:r>
      <w:proofErr w:type="spellStart"/>
      <w:r w:rsidRPr="00BA5B93">
        <w:t>Hadji</w:t>
      </w:r>
      <w:proofErr w:type="spellEnd"/>
      <w:r w:rsidRPr="00BA5B93">
        <w:t xml:space="preserve"> Murad, trans. A. </w:t>
      </w:r>
      <w:proofErr w:type="spellStart"/>
      <w:r w:rsidRPr="00BA5B93">
        <w:t>Maude</w:t>
      </w:r>
      <w:proofErr w:type="spellEnd"/>
      <w:r w:rsidRPr="00BA5B93">
        <w:t>, (</w:t>
      </w:r>
      <w:proofErr w:type="spellStart"/>
      <w:r w:rsidRPr="00BA5B93">
        <w:t>London</w:t>
      </w:r>
      <w:proofErr w:type="spellEnd"/>
      <w:r w:rsidRPr="00BA5B93">
        <w:t xml:space="preserve">: Thomas Nelson &amp; </w:t>
      </w:r>
      <w:proofErr w:type="spellStart"/>
      <w:r w:rsidRPr="00BA5B93">
        <w:t>Sons</w:t>
      </w:r>
      <w:proofErr w:type="spellEnd"/>
      <w:r w:rsidRPr="00BA5B93">
        <w:t xml:space="preserve">, 1912), </w:t>
      </w:r>
      <w:proofErr w:type="spellStart"/>
      <w:r w:rsidRPr="00BA5B93">
        <w:t>ss</w:t>
      </w:r>
      <w:proofErr w:type="spellEnd"/>
      <w:r w:rsidRPr="00BA5B93">
        <w:t>. 151-152.</w:t>
      </w:r>
    </w:p>
  </w:footnote>
  <w:footnote w:id="26">
    <w:p w:rsidR="00BA5B93" w:rsidRDefault="00BA5B93">
      <w:pPr>
        <w:pStyle w:val="DipnotMetni"/>
      </w:pPr>
      <w:r>
        <w:rPr>
          <w:rStyle w:val="DipnotBavurusu"/>
        </w:rPr>
        <w:footnoteRef/>
      </w:r>
      <w:r>
        <w:t xml:space="preserve"> </w:t>
      </w:r>
      <w:r w:rsidRPr="00BA5B93">
        <w:t xml:space="preserve">Tolstoy, </w:t>
      </w:r>
      <w:proofErr w:type="spellStart"/>
      <w:r w:rsidRPr="00BA5B93">
        <w:t>Hadji</w:t>
      </w:r>
      <w:proofErr w:type="spellEnd"/>
      <w:r w:rsidRPr="00BA5B93">
        <w:t xml:space="preserve"> Murad, s. 152.</w:t>
      </w:r>
    </w:p>
  </w:footnote>
  <w:footnote w:id="27">
    <w:p w:rsidR="00BA5B93" w:rsidRDefault="00BA5B93">
      <w:pPr>
        <w:pStyle w:val="DipnotMetni"/>
      </w:pPr>
      <w:r>
        <w:rPr>
          <w:rStyle w:val="DipnotBavurusu"/>
        </w:rPr>
        <w:footnoteRef/>
      </w:r>
      <w:r>
        <w:t xml:space="preserve"> </w:t>
      </w:r>
      <w:r w:rsidRPr="00BA5B93">
        <w:t>Kadri Enis Berberoğlu (3) [GK], B. No: 2020/32949, 21/1/2021, § 81.</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8C"/>
    <w:rsid w:val="00684DE4"/>
    <w:rsid w:val="008F1D8C"/>
    <w:rsid w:val="00BA5B93"/>
    <w:rsid w:val="00E7613E"/>
    <w:rsid w:val="00ED3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1E7D"/>
  <w15:chartTrackingRefBased/>
  <w15:docId w15:val="{03B6E4B4-8FBB-4CAA-B1B2-E0CA69CC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1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1D8C"/>
    <w:rPr>
      <w:b/>
      <w:bCs/>
    </w:rPr>
  </w:style>
  <w:style w:type="character" w:styleId="Vurgu">
    <w:name w:val="Emphasis"/>
    <w:basedOn w:val="VarsaylanParagrafYazTipi"/>
    <w:uiPriority w:val="20"/>
    <w:qFormat/>
    <w:rsid w:val="008F1D8C"/>
    <w:rPr>
      <w:i/>
      <w:iCs/>
    </w:rPr>
  </w:style>
  <w:style w:type="character" w:styleId="Kpr">
    <w:name w:val="Hyperlink"/>
    <w:basedOn w:val="VarsaylanParagrafYazTipi"/>
    <w:uiPriority w:val="99"/>
    <w:semiHidden/>
    <w:unhideWhenUsed/>
    <w:rsid w:val="008F1D8C"/>
    <w:rPr>
      <w:color w:val="0000FF"/>
      <w:u w:val="single"/>
    </w:rPr>
  </w:style>
  <w:style w:type="paragraph" w:styleId="stBilgi">
    <w:name w:val="header"/>
    <w:basedOn w:val="Normal"/>
    <w:link w:val="stBilgiChar"/>
    <w:uiPriority w:val="99"/>
    <w:unhideWhenUsed/>
    <w:rsid w:val="008F1D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D8C"/>
  </w:style>
  <w:style w:type="paragraph" w:styleId="AltBilgi">
    <w:name w:val="footer"/>
    <w:basedOn w:val="Normal"/>
    <w:link w:val="AltBilgiChar"/>
    <w:uiPriority w:val="99"/>
    <w:unhideWhenUsed/>
    <w:rsid w:val="008F1D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D8C"/>
  </w:style>
  <w:style w:type="paragraph" w:styleId="DipnotMetni">
    <w:name w:val="footnote text"/>
    <w:basedOn w:val="Normal"/>
    <w:link w:val="DipnotMetniChar"/>
    <w:uiPriority w:val="99"/>
    <w:semiHidden/>
    <w:unhideWhenUsed/>
    <w:rsid w:val="00BA5B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A5B93"/>
    <w:rPr>
      <w:sz w:val="20"/>
      <w:szCs w:val="20"/>
    </w:rPr>
  </w:style>
  <w:style w:type="character" w:styleId="DipnotBavurusu">
    <w:name w:val="footnote reference"/>
    <w:basedOn w:val="VarsaylanParagrafYazTipi"/>
    <w:uiPriority w:val="99"/>
    <w:semiHidden/>
    <w:unhideWhenUsed/>
    <w:rsid w:val="00BA5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9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02F6-A901-4274-B168-09018EC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2876</Words>
  <Characters>16398</Characters>
  <Application>Microsoft Office Word</Application>
  <DocSecurity>0</DocSecurity>
  <Lines>136</Lines>
  <Paragraphs>38</Paragraphs>
  <ScaleCrop>false</ScaleCrop>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2024-02-26T11:25:00Z</dcterms:created>
  <dcterms:modified xsi:type="dcterms:W3CDTF">2024-05-02T10:03:00Z</dcterms:modified>
</cp:coreProperties>
</file>